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European Family Summer Camp — Public Supplier Discovery &amp; RFP Pack</w:t>
      </w:r>
    </w:p>
    <w:p>
      <w:pPr>
        <w:jc w:val="center"/>
      </w:pPr>
      <w:r>
        <w:rPr>
          <w:color w:val="1C767D"/>
          <w:sz w:val="28"/>
        </w:rPr>
        <w:t>Same-scope procurement brief for Cascais–Oeiras and Porto–Foz–Matosinhos</w:t>
      </w:r>
    </w:p>
    <w:p/>
    <w:p>
      <w:pPr>
        <w:pStyle w:val="SmallNote"/>
        <w:jc w:val="center"/>
      </w:pPr>
      <w:r>
        <w:t>Prepared from independently checkable public sources. No supplier inquiry, reservation, contract, booking, payment, or private-account access occurred.</w:t>
      </w:r>
    </w:p>
    <w:p>
      <w:r>
        <w:br w:type="page"/>
      </w:r>
    </w:p>
    <w:p>
      <w:pPr>
        <w:pStyle w:val="Heading1"/>
      </w:pPr>
      <w:r>
        <w:t>Purpose and status</w:t>
      </w:r>
    </w:p>
    <w:p>
      <w:r>
        <w:t>This pack converts public discovery into written-bid requests. It has not been sent. No supplier has quoted, accepted, reserved inventory or been appointed. All respondents must quote the same dates, scope and commercial structure so the two destination tracks can be compared.</w:t>
      </w:r>
    </w:p>
    <w:tbl>
      <w:tblPr>
        <w:tblStyle w:val="TableGrid"/>
        <w:tblW w:type="auto" w:w="0"/>
        <w:tblLook w:firstColumn="1" w:firstRow="1" w:lastColumn="0" w:lastRow="0" w:noHBand="0" w:noVBand="1" w:val="04A0"/>
      </w:tblPr>
      <w:tblGrid>
        <w:gridCol w:w="10282"/>
      </w:tblGrid>
      <w:tr>
        <w:tc>
          <w:tcPr>
            <w:tcW w:type="dxa" w:w="10282"/>
            <w:shd w:fill="FFF2CC"/>
          </w:tcPr>
          <w:p>
            <w:r>
              <w:rPr>
                <w:b/>
                <w:color w:val="1B3959"/>
              </w:rPr>
              <w:t>Procurement objective</w:t>
            </w:r>
            <w:r>
              <w:br/>
              <w:t>Obtain decision-grade written bids for an 18-family, approximately 30-child, four-week July 2027 cohort while preserving the right to stop without material nonrefundable exposure.</w:t>
            </w:r>
          </w:p>
        </w:tc>
      </w:tr>
    </w:tbl>
    <w:p/>
    <w:p>
      <w:pPr>
        <w:pStyle w:val="Heading1"/>
      </w:pPr>
      <w:r>
        <w:t>Program fact pattern</w:t>
      </w:r>
    </w:p>
    <w:tbl>
      <w:tblPr>
        <w:tblStyle w:val="TableGrid"/>
        <w:tblW w:type="auto" w:w="0"/>
        <w:jc w:val="center"/>
        <w:tblLook w:firstColumn="1" w:firstRow="1" w:lastColumn="0" w:lastRow="0" w:noHBand="0" w:noVBand="1" w:val="04A0"/>
      </w:tblPr>
      <w:tblGrid>
        <w:gridCol w:w="5141"/>
        <w:gridCol w:w="5141"/>
      </w:tblGrid>
      <w:tr>
        <w:tc>
          <w:tcPr>
            <w:tcW w:type="dxa" w:w="5141"/>
            <w:shd w:fill="1C767D"/>
          </w:tcPr>
          <w:p>
            <w:r>
              <w:rPr>
                <w:b/>
                <w:color w:val="FFFFFF"/>
                <w:sz w:val="17"/>
              </w:rPr>
              <w:t>Item</w:t>
            </w:r>
          </w:p>
        </w:tc>
        <w:tc>
          <w:tcPr>
            <w:tcW w:type="dxa" w:w="5141"/>
            <w:shd w:fill="1C767D"/>
          </w:tcPr>
          <w:p>
            <w:r>
              <w:rPr>
                <w:b/>
                <w:color w:val="FFFFFF"/>
                <w:sz w:val="17"/>
              </w:rPr>
              <w:t>Requirement</w:t>
            </w:r>
          </w:p>
        </w:tc>
      </w:tr>
      <w:tr>
        <w:tc>
          <w:tcPr>
            <w:tcW w:type="dxa" w:w="5141"/>
            <w:vAlign w:val="top"/>
          </w:tcPr>
          <w:p>
            <w:r>
              <w:rPr>
                <w:sz w:val="17"/>
              </w:rPr>
              <w:t>Arrival / departure</w:t>
            </w:r>
          </w:p>
        </w:tc>
        <w:tc>
          <w:tcPr>
            <w:tcW w:type="dxa" w:w="5141"/>
            <w:vAlign w:val="top"/>
          </w:tcPr>
          <w:p>
            <w:r>
              <w:rPr>
                <w:sz w:val="17"/>
              </w:rPr>
              <w:t>Arrival Sunday 4 July 2027; departure Sunday 1 August 2027.</w:t>
            </w:r>
          </w:p>
        </w:tc>
      </w:tr>
      <w:tr>
        <w:tc>
          <w:tcPr>
            <w:tcW w:type="dxa" w:w="5141"/>
            <w:vAlign w:val="top"/>
            <w:shd w:fill="F1F5F8"/>
          </w:tcPr>
          <w:p>
            <w:r>
              <w:rPr>
                <w:sz w:val="17"/>
              </w:rPr>
              <w:t>Camp dates</w:t>
            </w:r>
          </w:p>
        </w:tc>
        <w:tc>
          <w:tcPr>
            <w:tcW w:type="dxa" w:w="5141"/>
            <w:vAlign w:val="top"/>
            <w:shd w:fill="F1F5F8"/>
          </w:tcPr>
          <w:p>
            <w:r>
              <w:rPr>
                <w:sz w:val="17"/>
              </w:rPr>
              <w:t>Monday 5 July–Friday 30 July 2027; 20 weekdays.</w:t>
            </w:r>
          </w:p>
        </w:tc>
      </w:tr>
      <w:tr>
        <w:tc>
          <w:tcPr>
            <w:tcW w:type="dxa" w:w="5141"/>
            <w:vAlign w:val="top"/>
          </w:tcPr>
          <w:p>
            <w:r>
              <w:rPr>
                <w:sz w:val="17"/>
              </w:rPr>
              <w:t>Families</w:t>
            </w:r>
          </w:p>
        </w:tc>
        <w:tc>
          <w:tcPr>
            <w:tcW w:type="dxa" w:w="5141"/>
            <w:vAlign w:val="top"/>
          </w:tcPr>
          <w:p>
            <w:r>
              <w:rPr>
                <w:sz w:val="17"/>
              </w:rPr>
              <w:t>18 target; mix of 3- and 4-person families; approximately 30 children.</w:t>
            </w:r>
          </w:p>
        </w:tc>
      </w:tr>
      <w:tr>
        <w:tc>
          <w:tcPr>
            <w:tcW w:type="dxa" w:w="5141"/>
            <w:vAlign w:val="top"/>
            <w:shd w:fill="F1F5F8"/>
          </w:tcPr>
          <w:p>
            <w:r>
              <w:rPr>
                <w:sz w:val="17"/>
              </w:rPr>
              <w:t>Children</w:t>
            </w:r>
          </w:p>
        </w:tc>
        <w:tc>
          <w:tcPr>
            <w:tcW w:type="dxa" w:w="5141"/>
            <w:vAlign w:val="top"/>
            <w:shd w:fill="F1F5F8"/>
          </w:tcPr>
          <w:p>
            <w:r>
              <w:rPr>
                <w:sz w:val="17"/>
              </w:rPr>
              <w:t>Ages 6–12 only.</w:t>
            </w:r>
          </w:p>
        </w:tc>
      </w:tr>
      <w:tr>
        <w:tc>
          <w:tcPr>
            <w:tcW w:type="dxa" w:w="5141"/>
            <w:vAlign w:val="top"/>
          </w:tcPr>
          <w:p>
            <w:r>
              <w:rPr>
                <w:sz w:val="17"/>
              </w:rPr>
              <w:t>Camp hours</w:t>
            </w:r>
          </w:p>
        </w:tc>
        <w:tc>
          <w:tcPr>
            <w:tcW w:type="dxa" w:w="5141"/>
            <w:vAlign w:val="top"/>
          </w:tcPr>
          <w:p>
            <w:r>
              <w:rPr>
                <w:sz w:val="17"/>
              </w:rPr>
              <w:t>Mon–Thu 13:30–21:30; Fri 13:30–18:30. Quote optional Friday extension separately.</w:t>
            </w:r>
          </w:p>
        </w:tc>
      </w:tr>
      <w:tr>
        <w:tc>
          <w:tcPr>
            <w:tcW w:type="dxa" w:w="5141"/>
            <w:vAlign w:val="top"/>
            <w:shd w:fill="F1F5F8"/>
          </w:tcPr>
          <w:p>
            <w:r>
              <w:rPr>
                <w:sz w:val="17"/>
              </w:rPr>
              <w:t>Locations</w:t>
            </w:r>
          </w:p>
        </w:tc>
        <w:tc>
          <w:tcPr>
            <w:tcW w:type="dxa" w:w="5141"/>
            <w:vAlign w:val="top"/>
            <w:shd w:fill="F1F5F8"/>
          </w:tcPr>
          <w:p>
            <w:r>
              <w:rPr>
                <w:sz w:val="17"/>
              </w:rPr>
              <w:t>Track A: Cascais–Oeiras coast. Track B: Porto–Foz–Matosinhos.</w:t>
            </w:r>
          </w:p>
        </w:tc>
      </w:tr>
      <w:tr>
        <w:tc>
          <w:tcPr>
            <w:tcW w:type="dxa" w:w="5141"/>
            <w:vAlign w:val="top"/>
          </w:tcPr>
          <w:p>
            <w:r>
              <w:rPr>
                <w:sz w:val="17"/>
              </w:rPr>
              <w:t>Commercial form</w:t>
            </w:r>
          </w:p>
        </w:tc>
        <w:tc>
          <w:tcPr>
            <w:tcW w:type="dxa" w:w="5141"/>
            <w:vAlign w:val="top"/>
          </w:tcPr>
          <w:p>
            <w:r>
              <w:rPr>
                <w:sz w:val="17"/>
              </w:rPr>
              <w:t>All taxes, fees, mandatory insurance and defined services shown separately and as an all-in total.</w:t>
            </w:r>
          </w:p>
        </w:tc>
      </w:tr>
      <w:tr>
        <w:tc>
          <w:tcPr>
            <w:tcW w:type="dxa" w:w="5141"/>
            <w:vAlign w:val="top"/>
            <w:shd w:fill="F1F5F8"/>
          </w:tcPr>
          <w:p>
            <w:r>
              <w:rPr>
                <w:sz w:val="17"/>
              </w:rPr>
              <w:t>Validity</w:t>
            </w:r>
          </w:p>
        </w:tc>
        <w:tc>
          <w:tcPr>
            <w:tcW w:type="dxa" w:w="5141"/>
            <w:vAlign w:val="top"/>
            <w:shd w:fill="F1F5F8"/>
          </w:tcPr>
          <w:p>
            <w:r>
              <w:rPr>
                <w:sz w:val="17"/>
              </w:rPr>
              <w:t>Bid validity, inventory hold and staged-payment schedule required.</w:t>
            </w:r>
          </w:p>
        </w:tc>
      </w:tr>
    </w:tbl>
    <w:p/>
    <w:p>
      <w:pPr>
        <w:pStyle w:val="Heading1"/>
      </w:pPr>
      <w:r>
        <w:t>RFP 1 — RNAVT organizer / merchant of record</w:t>
      </w:r>
    </w:p>
    <w:p>
      <w:r>
        <w:t>The respondent must be able to serve as the contracting organizer and merchant of record, subject to counsel’s final structure.</w:t>
      </w:r>
    </w:p>
    <w:tbl>
      <w:tblPr>
        <w:tblStyle w:val="TableGrid"/>
        <w:tblW w:type="auto" w:w="0"/>
        <w:jc w:val="center"/>
        <w:tblLook w:firstColumn="1" w:firstRow="1" w:lastColumn="0" w:lastRow="0" w:noHBand="0" w:noVBand="1" w:val="04A0"/>
      </w:tblPr>
      <w:tblGrid>
        <w:gridCol w:w="5141"/>
        <w:gridCol w:w="5141"/>
      </w:tblGrid>
      <w:tr>
        <w:tc>
          <w:tcPr>
            <w:tcW w:type="dxa" w:w="5141"/>
            <w:shd w:fill="1C767D"/>
          </w:tcPr>
          <w:p>
            <w:r>
              <w:rPr>
                <w:b/>
                <w:color w:val="FFFFFF"/>
                <w:sz w:val="16"/>
              </w:rPr>
              <w:t>Required response</w:t>
            </w:r>
          </w:p>
        </w:tc>
        <w:tc>
          <w:tcPr>
            <w:tcW w:type="dxa" w:w="5141"/>
            <w:shd w:fill="1C767D"/>
          </w:tcPr>
          <w:p>
            <w:r>
              <w:rPr>
                <w:b/>
                <w:color w:val="FFFFFF"/>
                <w:sz w:val="16"/>
              </w:rPr>
              <w:t>Evidence / detail</w:t>
            </w:r>
          </w:p>
        </w:tc>
      </w:tr>
      <w:tr>
        <w:tc>
          <w:tcPr>
            <w:tcW w:type="dxa" w:w="5141"/>
            <w:vAlign w:val="top"/>
          </w:tcPr>
          <w:p>
            <w:r>
              <w:rPr>
                <w:sz w:val="16"/>
              </w:rPr>
              <w:t>Legal identity</w:t>
            </w:r>
          </w:p>
        </w:tc>
        <w:tc>
          <w:tcPr>
            <w:tcW w:type="dxa" w:w="5141"/>
            <w:vAlign w:val="top"/>
          </w:tcPr>
          <w:p>
            <w:r>
              <w:rPr>
                <w:sz w:val="16"/>
              </w:rPr>
              <w:t>Full legal name, tax number, address, signatory and ownership.</w:t>
            </w:r>
          </w:p>
        </w:tc>
      </w:tr>
      <w:tr>
        <w:tc>
          <w:tcPr>
            <w:tcW w:type="dxa" w:w="5141"/>
            <w:vAlign w:val="top"/>
            <w:shd w:fill="F1F5F8"/>
          </w:tcPr>
          <w:p>
            <w:r>
              <w:rPr>
                <w:sz w:val="16"/>
              </w:rPr>
              <w:t>RNAVT</w:t>
            </w:r>
          </w:p>
        </w:tc>
        <w:tc>
          <w:tcPr>
            <w:tcW w:type="dxa" w:w="5141"/>
            <w:vAlign w:val="top"/>
            <w:shd w:fill="F1F5F8"/>
          </w:tcPr>
          <w:p>
            <w:r>
              <w:rPr>
                <w:sz w:val="16"/>
              </w:rPr>
              <w:t>Current number and direct official-registry evidence.</w:t>
            </w:r>
          </w:p>
        </w:tc>
      </w:tr>
      <w:tr>
        <w:tc>
          <w:tcPr>
            <w:tcW w:type="dxa" w:w="5141"/>
            <w:vAlign w:val="top"/>
          </w:tcPr>
          <w:p>
            <w:r>
              <w:rPr>
                <w:sz w:val="16"/>
              </w:rPr>
              <w:t>Liability / FGVT</w:t>
            </w:r>
          </w:p>
        </w:tc>
        <w:tc>
          <w:tcPr>
            <w:tcW w:type="dxa" w:w="5141"/>
            <w:vAlign w:val="top"/>
          </w:tcPr>
          <w:p>
            <w:r>
              <w:rPr>
                <w:sz w:val="16"/>
              </w:rPr>
              <w:t>Policy certificate, limits, territorial scope, expiry and current guarantee-fund status.</w:t>
            </w:r>
          </w:p>
        </w:tc>
      </w:tr>
      <w:tr>
        <w:tc>
          <w:tcPr>
            <w:tcW w:type="dxa" w:w="5141"/>
            <w:vAlign w:val="top"/>
            <w:shd w:fill="F1F5F8"/>
          </w:tcPr>
          <w:p>
            <w:r>
              <w:rPr>
                <w:sz w:val="16"/>
              </w:rPr>
              <w:t>Customer contract</w:t>
            </w:r>
          </w:p>
        </w:tc>
        <w:tc>
          <w:tcPr>
            <w:tcW w:type="dxa" w:w="5141"/>
            <w:vAlign w:val="top"/>
            <w:shd w:fill="F1F5F8"/>
          </w:tcPr>
          <w:p>
            <w:r>
              <w:rPr>
                <w:sz w:val="16"/>
              </w:rPr>
              <w:t>English package terms, pre-contract disclosures, cancellation/refund terms, assistance duties, complaint process and force majeure.</w:t>
            </w:r>
          </w:p>
        </w:tc>
      </w:tr>
      <w:tr>
        <w:tc>
          <w:tcPr>
            <w:tcW w:type="dxa" w:w="5141"/>
            <w:vAlign w:val="top"/>
          </w:tcPr>
          <w:p>
            <w:r>
              <w:rPr>
                <w:sz w:val="16"/>
              </w:rPr>
              <w:t>Fund flow</w:t>
            </w:r>
          </w:p>
        </w:tc>
        <w:tc>
          <w:tcPr>
            <w:tcW w:type="dxa" w:w="5141"/>
            <w:vAlign w:val="top"/>
          </w:tcPr>
          <w:p>
            <w:r>
              <w:rPr>
                <w:sz w:val="16"/>
              </w:rPr>
              <w:t>Ability to collect €250 refundable priority reservations and later program payments; segregated/operating treatment; refund SLA; chargeback handling.</w:t>
            </w:r>
          </w:p>
        </w:tc>
      </w:tr>
      <w:tr>
        <w:tc>
          <w:tcPr>
            <w:tcW w:type="dxa" w:w="5141"/>
            <w:vAlign w:val="top"/>
            <w:shd w:fill="F1F5F8"/>
          </w:tcPr>
          <w:p>
            <w:r>
              <w:rPr>
                <w:sz w:val="16"/>
              </w:rPr>
              <w:t>Supplier chain</w:t>
            </w:r>
          </w:p>
        </w:tc>
        <w:tc>
          <w:tcPr>
            <w:tcW w:type="dxa" w:w="5141"/>
            <w:vAlign w:val="top"/>
            <w:shd w:fill="F1F5F8"/>
          </w:tcPr>
          <w:p>
            <w:r>
              <w:rPr>
                <w:sz w:val="16"/>
              </w:rPr>
              <w:t>Ability to contract housing, camp, transport, catering and activities as organizer.</w:t>
            </w:r>
          </w:p>
        </w:tc>
      </w:tr>
      <w:tr>
        <w:tc>
          <w:tcPr>
            <w:tcW w:type="dxa" w:w="5141"/>
            <w:vAlign w:val="top"/>
          </w:tcPr>
          <w:p>
            <w:r>
              <w:rPr>
                <w:sz w:val="16"/>
              </w:rPr>
              <w:t>Tax</w:t>
            </w:r>
          </w:p>
        </w:tc>
        <w:tc>
          <w:tcPr>
            <w:tcW w:type="dxa" w:w="5141"/>
            <w:vAlign w:val="top"/>
          </w:tcPr>
          <w:p>
            <w:r>
              <w:rPr>
                <w:sz w:val="16"/>
              </w:rPr>
              <w:t>Written TAMS/VAT treatment, invoices and treatment of brand/referral/management fee.</w:t>
            </w:r>
          </w:p>
        </w:tc>
      </w:tr>
      <w:tr>
        <w:tc>
          <w:tcPr>
            <w:tcW w:type="dxa" w:w="5141"/>
            <w:vAlign w:val="top"/>
            <w:shd w:fill="F1F5F8"/>
          </w:tcPr>
          <w:p>
            <w:r>
              <w:rPr>
                <w:sz w:val="16"/>
              </w:rPr>
              <w:t>Fees</w:t>
            </w:r>
          </w:p>
        </w:tc>
        <w:tc>
          <w:tcPr>
            <w:tcW w:type="dxa" w:w="5141"/>
            <w:vAlign w:val="top"/>
            <w:shd w:fill="F1F5F8"/>
          </w:tcPr>
          <w:p>
            <w:r>
              <w:rPr>
                <w:sz w:val="16"/>
              </w:rPr>
              <w:t>Fixed fee and open-book percentage; base model cap 10% of supplier spend. Explain exclusions and minimum fees.</w:t>
            </w:r>
          </w:p>
        </w:tc>
      </w:tr>
      <w:tr>
        <w:tc>
          <w:tcPr>
            <w:tcW w:type="dxa" w:w="5141"/>
            <w:vAlign w:val="top"/>
          </w:tcPr>
          <w:p>
            <w:r>
              <w:rPr>
                <w:sz w:val="16"/>
              </w:rPr>
              <w:t>References</w:t>
            </w:r>
          </w:p>
        </w:tc>
        <w:tc>
          <w:tcPr>
            <w:tcW w:type="dxa" w:w="5141"/>
            <w:vAlign w:val="top"/>
          </w:tcPr>
          <w:p>
            <w:r>
              <w:rPr>
                <w:sz w:val="16"/>
              </w:rPr>
              <w:t>At least two family/group or educational travel clients.</w:t>
            </w:r>
          </w:p>
        </w:tc>
      </w:tr>
      <w:tr>
        <w:tc>
          <w:tcPr>
            <w:tcW w:type="dxa" w:w="5141"/>
            <w:vAlign w:val="top"/>
            <w:shd w:fill="F1F5F8"/>
          </w:tcPr>
          <w:p>
            <w:r>
              <w:rPr>
                <w:sz w:val="16"/>
              </w:rPr>
              <w:t>2027 validity</w:t>
            </w:r>
          </w:p>
        </w:tc>
        <w:tc>
          <w:tcPr>
            <w:tcW w:type="dxa" w:w="5141"/>
            <w:vAlign w:val="top"/>
            <w:shd w:fill="F1F5F8"/>
          </w:tcPr>
          <w:p>
            <w:r>
              <w:rPr>
                <w:sz w:val="16"/>
              </w:rPr>
              <w:t>Commitment to keep registry and policies current through 1 August 2027.</w:t>
            </w:r>
          </w:p>
        </w:tc>
      </w:tr>
    </w:tbl>
    <w:p/>
    <w:tbl>
      <w:tblPr>
        <w:tblStyle w:val="TableGrid"/>
        <w:tblW w:type="auto" w:w="0"/>
        <w:tblLook w:firstColumn="1" w:firstRow="1" w:lastColumn="0" w:lastRow="0" w:noHBand="0" w:noVBand="1" w:val="04A0"/>
      </w:tblPr>
      <w:tblGrid>
        <w:gridCol w:w="10282"/>
      </w:tblGrid>
      <w:tr>
        <w:tc>
          <w:tcPr>
            <w:tcW w:type="dxa" w:w="10282"/>
            <w:shd w:fill="FFF2CC"/>
          </w:tcPr>
          <w:p>
            <w:r>
              <w:rPr>
                <w:b/>
                <w:color w:val="1B3959"/>
              </w:rPr>
              <w:t>Automatic disqualifiers</w:t>
            </w:r>
            <w:r>
              <w:br/>
              <w:t>No current RNAVT; refusal to show insurance/FGVT evidence; inability to act as merchant of record; unclear refund control; fee structure that cannot be normalized; or reliance on disclaimers instead of organizer obligations.</w:t>
            </w:r>
          </w:p>
        </w:tc>
      </w:tr>
    </w:tbl>
    <w:p/>
    <w:p>
      <w:pPr>
        <w:pStyle w:val="Heading1"/>
      </w:pPr>
      <w:r>
        <w:t>RFP 2 — Holiday-camp operator</w:t>
      </w:r>
    </w:p>
    <w:p>
      <w:r>
        <w:t>The bid must cover the complete child program. A normal-hours retail brochure is not responsive.</w:t>
      </w:r>
    </w:p>
    <w:tbl>
      <w:tblPr>
        <w:tblStyle w:val="TableGrid"/>
        <w:tblW w:type="auto" w:w="0"/>
        <w:jc w:val="center"/>
        <w:tblLook w:firstColumn="1" w:firstRow="1" w:lastColumn="0" w:lastRow="0" w:noHBand="0" w:noVBand="1" w:val="04A0"/>
      </w:tblPr>
      <w:tblGrid>
        <w:gridCol w:w="5141"/>
        <w:gridCol w:w="5141"/>
      </w:tblGrid>
      <w:tr>
        <w:tc>
          <w:tcPr>
            <w:tcW w:type="dxa" w:w="5141"/>
            <w:shd w:fill="1C767D"/>
          </w:tcPr>
          <w:p>
            <w:r>
              <w:rPr>
                <w:b/>
                <w:color w:val="FFFFFF"/>
                <w:sz w:val="15"/>
              </w:rPr>
              <w:t>Scope</w:t>
            </w:r>
          </w:p>
        </w:tc>
        <w:tc>
          <w:tcPr>
            <w:tcW w:type="dxa" w:w="5141"/>
            <w:shd w:fill="1C767D"/>
          </w:tcPr>
          <w:p>
            <w:r>
              <w:rPr>
                <w:b/>
                <w:color w:val="FFFFFF"/>
                <w:sz w:val="15"/>
              </w:rPr>
              <w:t>Required bid response</w:t>
            </w:r>
          </w:p>
        </w:tc>
      </w:tr>
      <w:tr>
        <w:tc>
          <w:tcPr>
            <w:tcW w:type="dxa" w:w="5141"/>
            <w:vAlign w:val="top"/>
          </w:tcPr>
          <w:p>
            <w:r>
              <w:rPr>
                <w:sz w:val="15"/>
              </w:rPr>
              <w:t>Operator evidence</w:t>
            </w:r>
          </w:p>
        </w:tc>
        <w:tc>
          <w:tcPr>
            <w:tcW w:type="dxa" w:w="5141"/>
            <w:vAlign w:val="top"/>
          </w:tcPr>
          <w:p>
            <w:r>
              <w:rPr>
                <w:sz w:val="15"/>
              </w:rPr>
              <w:t>Legal entity, tax number, IPDJ registration number, current registry evidence and proof of specific prior-program communication where available.</w:t>
            </w:r>
          </w:p>
        </w:tc>
      </w:tr>
      <w:tr>
        <w:tc>
          <w:tcPr>
            <w:tcW w:type="dxa" w:w="5141"/>
            <w:vAlign w:val="top"/>
            <w:shd w:fill="F1F5F8"/>
          </w:tcPr>
          <w:p>
            <w:r>
              <w:rPr>
                <w:sz w:val="15"/>
              </w:rPr>
              <w:t>Capacity</w:t>
            </w:r>
          </w:p>
        </w:tc>
        <w:tc>
          <w:tcPr>
            <w:tcW w:type="dxa" w:w="5141"/>
            <w:vAlign w:val="top"/>
            <w:shd w:fill="F1F5F8"/>
          </w:tcPr>
          <w:p>
            <w:r>
              <w:rPr>
                <w:sz w:val="15"/>
              </w:rPr>
              <w:t>30 children ages 6–12; maximum and minimum viable count; waitlist/backup capacity.</w:t>
            </w:r>
          </w:p>
        </w:tc>
      </w:tr>
      <w:tr>
        <w:tc>
          <w:tcPr>
            <w:tcW w:type="dxa" w:w="5141"/>
            <w:vAlign w:val="top"/>
          </w:tcPr>
          <w:p>
            <w:r>
              <w:rPr>
                <w:sz w:val="15"/>
              </w:rPr>
              <w:t>Hours</w:t>
            </w:r>
          </w:p>
        </w:tc>
        <w:tc>
          <w:tcPr>
            <w:tcW w:type="dxa" w:w="5141"/>
            <w:vAlign w:val="top"/>
          </w:tcPr>
          <w:p>
            <w:r>
              <w:rPr>
                <w:sz w:val="15"/>
              </w:rPr>
              <w:t>Mon–Thu 13:30–21:30; Fri 13:30–18:30. State exact staff arrival/departure and pickup grace.</w:t>
            </w:r>
          </w:p>
        </w:tc>
      </w:tr>
      <w:tr>
        <w:tc>
          <w:tcPr>
            <w:tcW w:type="dxa" w:w="5141"/>
            <w:vAlign w:val="top"/>
            <w:shd w:fill="F1F5F8"/>
          </w:tcPr>
          <w:p>
            <w:r>
              <w:rPr>
                <w:sz w:val="15"/>
              </w:rPr>
              <w:t>Staffing</w:t>
            </w:r>
          </w:p>
        </w:tc>
        <w:tc>
          <w:tcPr>
            <w:tcW w:type="dxa" w:w="5141"/>
            <w:vAlign w:val="top"/>
            <w:shd w:fill="F1F5F8"/>
          </w:tcPr>
          <w:p>
            <w:r>
              <w:rPr>
                <w:sz w:val="15"/>
              </w:rPr>
              <w:t>Coordinator, monitor roster assumptions, age-group ratios, qualifications, English level, employment status, background/safeguarding checks, illness/absence backup.</w:t>
            </w:r>
          </w:p>
        </w:tc>
      </w:tr>
      <w:tr>
        <w:tc>
          <w:tcPr>
            <w:tcW w:type="dxa" w:w="5141"/>
            <w:vAlign w:val="top"/>
          </w:tcPr>
          <w:p>
            <w:r>
              <w:rPr>
                <w:sz w:val="15"/>
              </w:rPr>
              <w:t>Program</w:t>
            </w:r>
          </w:p>
        </w:tc>
        <w:tc>
          <w:tcPr>
            <w:tcW w:type="dxa" w:w="5141"/>
            <w:vAlign w:val="top"/>
          </w:tcPr>
          <w:p>
            <w:r>
              <w:rPr>
                <w:sz w:val="15"/>
              </w:rPr>
              <w:t>Four-week curriculum with sports, arts, local culture, outdoor/beach time and weather backup. No mandatory surf-only specialization.</w:t>
            </w:r>
          </w:p>
        </w:tc>
      </w:tr>
      <w:tr>
        <w:tc>
          <w:tcPr>
            <w:tcW w:type="dxa" w:w="5141"/>
            <w:vAlign w:val="top"/>
            <w:shd w:fill="F1F5F8"/>
          </w:tcPr>
          <w:p>
            <w:r>
              <w:rPr>
                <w:sz w:val="15"/>
              </w:rPr>
              <w:t>Meals</w:t>
            </w:r>
          </w:p>
        </w:tc>
        <w:tc>
          <w:tcPr>
            <w:tcW w:type="dxa" w:w="5141"/>
            <w:vAlign w:val="top"/>
            <w:shd w:fill="F1F5F8"/>
          </w:tcPr>
          <w:p>
            <w:r>
              <w:rPr>
                <w:sz w:val="15"/>
              </w:rPr>
              <w:t>Snack + dinner Mon–Thu; Friday snack/meal; menus, allergies, food-provider registration and water.</w:t>
            </w:r>
          </w:p>
        </w:tc>
      </w:tr>
      <w:tr>
        <w:tc>
          <w:tcPr>
            <w:tcW w:type="dxa" w:w="5141"/>
            <w:vAlign w:val="top"/>
          </w:tcPr>
          <w:p>
            <w:r>
              <w:rPr>
                <w:sz w:val="15"/>
              </w:rPr>
              <w:t>Venue</w:t>
            </w:r>
          </w:p>
        </w:tc>
        <w:tc>
          <w:tcPr>
            <w:tcW w:type="dxa" w:w="5141"/>
            <w:vAlign w:val="top"/>
          </w:tcPr>
          <w:p>
            <w:r>
              <w:rPr>
                <w:sz w:val="15"/>
              </w:rPr>
              <w:t>Address, exclusive/shared spaces, toilets, indoor weather capacity, security, accessibility and proximity to housing.</w:t>
            </w:r>
          </w:p>
        </w:tc>
      </w:tr>
      <w:tr>
        <w:tc>
          <w:tcPr>
            <w:tcW w:type="dxa" w:w="5141"/>
            <w:vAlign w:val="top"/>
            <w:shd w:fill="F1F5F8"/>
          </w:tcPr>
          <w:p>
            <w:r>
              <w:rPr>
                <w:sz w:val="15"/>
              </w:rPr>
              <w:t>Transport</w:t>
            </w:r>
          </w:p>
        </w:tc>
        <w:tc>
          <w:tcPr>
            <w:tcW w:type="dxa" w:w="5141"/>
            <w:vAlign w:val="top"/>
            <w:shd w:fill="F1F5F8"/>
          </w:tcPr>
          <w:p>
            <w:r>
              <w:rPr>
                <w:sz w:val="15"/>
              </w:rPr>
              <w:t>Every movement, licensed carrier, supervision, seatbelts/child restraints, pickup/drop-off and late-hour transport.</w:t>
            </w:r>
          </w:p>
        </w:tc>
      </w:tr>
      <w:tr>
        <w:tc>
          <w:tcPr>
            <w:tcW w:type="dxa" w:w="5141"/>
            <w:vAlign w:val="top"/>
          </w:tcPr>
          <w:p>
            <w:r>
              <w:rPr>
                <w:sz w:val="15"/>
              </w:rPr>
              <w:t>Safety</w:t>
            </w:r>
          </w:p>
        </w:tc>
        <w:tc>
          <w:tcPr>
            <w:tcW w:type="dxa" w:w="5141"/>
            <w:vAlign w:val="top"/>
          </w:tcPr>
          <w:p>
            <w:r>
              <w:rPr>
                <w:sz w:val="15"/>
              </w:rPr>
              <w:t>Emergency plan, medical lead, incident reporting, missing-child protocol, parent authorization, medication, water/beach procedures.</w:t>
            </w:r>
          </w:p>
        </w:tc>
      </w:tr>
      <w:tr>
        <w:tc>
          <w:tcPr>
            <w:tcW w:type="dxa" w:w="5141"/>
            <w:vAlign w:val="top"/>
            <w:shd w:fill="F1F5F8"/>
          </w:tcPr>
          <w:p>
            <w:r>
              <w:rPr>
                <w:sz w:val="15"/>
              </w:rPr>
              <w:t>Insurance</w:t>
            </w:r>
          </w:p>
        </w:tc>
        <w:tc>
          <w:tcPr>
            <w:tcW w:type="dxa" w:w="5141"/>
            <w:vAlign w:val="top"/>
            <w:shd w:fill="F1F5F8"/>
          </w:tcPr>
          <w:p>
            <w:r>
              <w:rPr>
                <w:sz w:val="15"/>
              </w:rPr>
              <w:t>Personal accident and liability certificates, limits, exclusions, late hours, beach/surf endorsements and dates.</w:t>
            </w:r>
          </w:p>
        </w:tc>
      </w:tr>
      <w:tr>
        <w:tc>
          <w:tcPr>
            <w:tcW w:type="dxa" w:w="5141"/>
            <w:vAlign w:val="top"/>
          </w:tcPr>
          <w:p>
            <w:r>
              <w:rPr>
                <w:sz w:val="15"/>
              </w:rPr>
              <w:t>Pricing</w:t>
            </w:r>
          </w:p>
        </w:tc>
        <w:tc>
          <w:tcPr>
            <w:tcW w:type="dxa" w:w="5141"/>
            <w:vAlign w:val="top"/>
          </w:tcPr>
          <w:p>
            <w:r>
              <w:rPr>
                <w:sz w:val="15"/>
              </w:rPr>
              <w:t>All-in per child for 28/30/32 children; one-child and sibling pricing; VAT; payment schedule; cancellation; minimum guarantee.</w:t>
            </w:r>
          </w:p>
        </w:tc>
      </w:tr>
      <w:tr>
        <w:tc>
          <w:tcPr>
            <w:tcW w:type="dxa" w:w="5141"/>
            <w:vAlign w:val="top"/>
            <w:shd w:fill="F1F5F8"/>
          </w:tcPr>
          <w:p>
            <w:r>
              <w:rPr>
                <w:sz w:val="15"/>
              </w:rPr>
              <w:t>Target cap</w:t>
            </w:r>
          </w:p>
        </w:tc>
        <w:tc>
          <w:tcPr>
            <w:tcW w:type="dxa" w:w="5141"/>
            <w:vAlign w:val="top"/>
            <w:shd w:fill="F1F5F8"/>
          </w:tcPr>
          <w:p>
            <w:r>
              <w:rPr>
                <w:sz w:val="15"/>
              </w:rPr>
              <w:t>Cascais ≤€1,600/child; Porto ≤€1,500/child for complete scope. Quote alternatives if cap cannot be met.</w:t>
            </w:r>
          </w:p>
        </w:tc>
      </w:tr>
    </w:tbl>
    <w:p/>
    <w:tbl>
      <w:tblPr>
        <w:tblStyle w:val="TableGrid"/>
        <w:tblW w:type="auto" w:w="0"/>
        <w:tblLook w:firstColumn="1" w:firstRow="1" w:lastColumn="0" w:lastRow="0" w:noHBand="0" w:noVBand="1" w:val="04A0"/>
      </w:tblPr>
      <w:tblGrid>
        <w:gridCol w:w="10282"/>
      </w:tblGrid>
      <w:tr>
        <w:tc>
          <w:tcPr>
            <w:tcW w:type="dxa" w:w="10282"/>
            <w:shd w:fill="FFF2CC"/>
          </w:tcPr>
          <w:p>
            <w:r>
              <w:rPr>
                <w:b/>
                <w:color w:val="1B3959"/>
              </w:rPr>
              <w:t>Automatic disqualifiers</w:t>
            </w:r>
            <w:r>
              <w:br/>
              <w:t>No verifiable IPDJ registration; inability to staff statutory ratios; no late-hours safeguarding/transport plan; insurance exclusions for planned activities; unclear legal employer; or price above cap without a product reprice path.</w:t>
            </w:r>
          </w:p>
        </w:tc>
      </w:tr>
    </w:tbl>
    <w:p/>
    <w:p>
      <w:pPr>
        <w:pStyle w:val="Heading1"/>
      </w:pPr>
      <w:r>
        <w:t>RFP 3 — Housing cluster</w:t>
      </w:r>
    </w:p>
    <w:tbl>
      <w:tblPr>
        <w:tblStyle w:val="TableGrid"/>
        <w:tblW w:type="auto" w:w="0"/>
        <w:jc w:val="center"/>
        <w:tblLook w:firstColumn="1" w:firstRow="1" w:lastColumn="0" w:lastRow="0" w:noHBand="0" w:noVBand="1" w:val="04A0"/>
      </w:tblPr>
      <w:tblGrid>
        <w:gridCol w:w="5141"/>
        <w:gridCol w:w="5141"/>
      </w:tblGrid>
      <w:tr>
        <w:tc>
          <w:tcPr>
            <w:tcW w:type="dxa" w:w="5141"/>
            <w:shd w:fill="1C767D"/>
          </w:tcPr>
          <w:p>
            <w:r>
              <w:rPr>
                <w:b/>
                <w:color w:val="FFFFFF"/>
                <w:sz w:val="15"/>
              </w:rPr>
              <w:t>Requirement</w:t>
            </w:r>
          </w:p>
        </w:tc>
        <w:tc>
          <w:tcPr>
            <w:tcW w:type="dxa" w:w="5141"/>
            <w:shd w:fill="1C767D"/>
          </w:tcPr>
          <w:p>
            <w:r>
              <w:rPr>
                <w:b/>
                <w:color w:val="FFFFFF"/>
                <w:sz w:val="15"/>
              </w:rPr>
              <w:t>Specification</w:t>
            </w:r>
          </w:p>
        </w:tc>
      </w:tr>
      <w:tr>
        <w:tc>
          <w:tcPr>
            <w:tcW w:type="dxa" w:w="5141"/>
            <w:vAlign w:val="top"/>
          </w:tcPr>
          <w:p>
            <w:r>
              <w:rPr>
                <w:sz w:val="15"/>
              </w:rPr>
              <w:t>Inventory</w:t>
            </w:r>
          </w:p>
        </w:tc>
        <w:tc>
          <w:tcPr>
            <w:tcW w:type="dxa" w:w="5141"/>
            <w:vAlign w:val="top"/>
          </w:tcPr>
          <w:p>
            <w:r>
              <w:rPr>
                <w:sz w:val="15"/>
              </w:rPr>
              <w:t>18 independent family units for 28 nights. Provide unit-by-unit matrix, not an aggregate claim.</w:t>
            </w:r>
          </w:p>
        </w:tc>
      </w:tr>
      <w:tr>
        <w:tc>
          <w:tcPr>
            <w:tcW w:type="dxa" w:w="5141"/>
            <w:vAlign w:val="top"/>
            <w:shd w:fill="F1F5F8"/>
          </w:tcPr>
          <w:p>
            <w:r>
              <w:rPr>
                <w:sz w:val="15"/>
              </w:rPr>
              <w:t>Minimum unit</w:t>
            </w:r>
          </w:p>
        </w:tc>
        <w:tc>
          <w:tcPr>
            <w:tcW w:type="dxa" w:w="5141"/>
            <w:vAlign w:val="top"/>
            <w:shd w:fill="F1F5F8"/>
          </w:tcPr>
          <w:p>
            <w:r>
              <w:rPr>
                <w:sz w:val="15"/>
              </w:rPr>
              <w:t>Two real bedrooms, private bathroom, kitchen, dining/work surface, reliable Wi-Fi, heating/cooling appropriate to July and legal occupancy for family size.</w:t>
            </w:r>
          </w:p>
        </w:tc>
      </w:tr>
      <w:tr>
        <w:tc>
          <w:tcPr>
            <w:tcW w:type="dxa" w:w="5141"/>
            <w:vAlign w:val="top"/>
          </w:tcPr>
          <w:p>
            <w:r>
              <w:rPr>
                <w:sz w:val="15"/>
              </w:rPr>
              <w:t>Services</w:t>
            </w:r>
          </w:p>
        </w:tc>
        <w:tc>
          <w:tcPr>
            <w:tcW w:type="dxa" w:w="5141"/>
            <w:vAlign w:val="top"/>
          </w:tcPr>
          <w:p>
            <w:r>
              <w:rPr>
                <w:sz w:val="15"/>
              </w:rPr>
              <w:t>Utilities, Wi-Fi, arrival clean, mid-stay clean, linens/towels, maintenance SLA, lockout and 24/7 emergency contact.</w:t>
            </w:r>
          </w:p>
        </w:tc>
      </w:tr>
      <w:tr>
        <w:tc>
          <w:tcPr>
            <w:tcW w:type="dxa" w:w="5141"/>
            <w:vAlign w:val="top"/>
            <w:shd w:fill="F1F5F8"/>
          </w:tcPr>
          <w:p>
            <w:r>
              <w:rPr>
                <w:sz w:val="15"/>
              </w:rPr>
              <w:t>Child suitability</w:t>
            </w:r>
          </w:p>
        </w:tc>
        <w:tc>
          <w:tcPr>
            <w:tcW w:type="dxa" w:w="5141"/>
            <w:vAlign w:val="top"/>
            <w:shd w:fill="F1F5F8"/>
          </w:tcPr>
          <w:p>
            <w:r>
              <w:rPr>
                <w:sz w:val="15"/>
              </w:rPr>
              <w:t>Safe windows/balconies, smoke/CO protection as applicable, stairs/lifts disclosed, cribs/high chairs by request.</w:t>
            </w:r>
          </w:p>
        </w:tc>
      </w:tr>
      <w:tr>
        <w:tc>
          <w:tcPr>
            <w:tcW w:type="dxa" w:w="5141"/>
            <w:vAlign w:val="top"/>
          </w:tcPr>
          <w:p>
            <w:r>
              <w:rPr>
                <w:sz w:val="15"/>
              </w:rPr>
              <w:t>Location</w:t>
            </w:r>
          </w:p>
        </w:tc>
        <w:tc>
          <w:tcPr>
            <w:tcW w:type="dxa" w:w="5141"/>
            <w:vAlign w:val="top"/>
          </w:tcPr>
          <w:p>
            <w:r>
              <w:rPr>
                <w:sz w:val="15"/>
              </w:rPr>
              <w:t>Address and travel time to camp/coworking. Target: 80% of units within 30 minutes door to door of camp.</w:t>
            </w:r>
          </w:p>
        </w:tc>
      </w:tr>
      <w:tr>
        <w:tc>
          <w:tcPr>
            <w:tcW w:type="dxa" w:w="5141"/>
            <w:vAlign w:val="top"/>
            <w:shd w:fill="F1F5F8"/>
          </w:tcPr>
          <w:p>
            <w:r>
              <w:rPr>
                <w:sz w:val="15"/>
              </w:rPr>
              <w:t>Licensing</w:t>
            </w:r>
          </w:p>
        </w:tc>
        <w:tc>
          <w:tcPr>
            <w:tcW w:type="dxa" w:w="5141"/>
            <w:vAlign w:val="top"/>
            <w:shd w:fill="F1F5F8"/>
          </w:tcPr>
          <w:p>
            <w:r>
              <w:rPr>
                <w:sz w:val="15"/>
              </w:rPr>
              <w:t>Local lodging/serviced-apartment registration and right to contract group inventory.</w:t>
            </w:r>
          </w:p>
        </w:tc>
      </w:tr>
      <w:tr>
        <w:tc>
          <w:tcPr>
            <w:tcW w:type="dxa" w:w="5141"/>
            <w:vAlign w:val="top"/>
          </w:tcPr>
          <w:p>
            <w:r>
              <w:rPr>
                <w:sz w:val="15"/>
              </w:rPr>
              <w:t>Price</w:t>
            </w:r>
          </w:p>
        </w:tc>
        <w:tc>
          <w:tcPr>
            <w:tcW w:type="dxa" w:w="5141"/>
            <w:vAlign w:val="top"/>
          </w:tcPr>
          <w:p>
            <w:r>
              <w:rPr>
                <w:sz w:val="15"/>
              </w:rPr>
              <w:t>All taxes, cleaning, utilities, commissions, deposits and damage terms shown per unit and total.</w:t>
            </w:r>
          </w:p>
        </w:tc>
      </w:tr>
      <w:tr>
        <w:tc>
          <w:tcPr>
            <w:tcW w:type="dxa" w:w="5141"/>
            <w:vAlign w:val="top"/>
            <w:shd w:fill="F1F5F8"/>
          </w:tcPr>
          <w:p>
            <w:r>
              <w:rPr>
                <w:sz w:val="15"/>
              </w:rPr>
              <w:t>Cascais cap</w:t>
            </w:r>
          </w:p>
        </w:tc>
        <w:tc>
          <w:tcPr>
            <w:tcW w:type="dxa" w:w="5141"/>
            <w:vAlign w:val="top"/>
            <w:shd w:fill="F1F5F8"/>
          </w:tcPr>
          <w:p>
            <w:r>
              <w:rPr>
                <w:sz w:val="15"/>
              </w:rPr>
              <w:t>Average ≤€3,650/unit; at least 12 units at/below cap; remaining ≤€4,200 unless customer upgrade revenue is identified.</w:t>
            </w:r>
          </w:p>
        </w:tc>
      </w:tr>
      <w:tr>
        <w:tc>
          <w:tcPr>
            <w:tcW w:type="dxa" w:w="5141"/>
            <w:vAlign w:val="top"/>
          </w:tcPr>
          <w:p>
            <w:r>
              <w:rPr>
                <w:sz w:val="15"/>
              </w:rPr>
              <w:t>Porto cap</w:t>
            </w:r>
          </w:p>
        </w:tc>
        <w:tc>
          <w:tcPr>
            <w:tcW w:type="dxa" w:w="5141"/>
            <w:vAlign w:val="top"/>
          </w:tcPr>
          <w:p>
            <w:r>
              <w:rPr>
                <w:sz w:val="15"/>
              </w:rPr>
              <w:t>Average ≤€2,500/unit.</w:t>
            </w:r>
          </w:p>
        </w:tc>
      </w:tr>
      <w:tr>
        <w:tc>
          <w:tcPr>
            <w:tcW w:type="dxa" w:w="5141"/>
            <w:vAlign w:val="top"/>
            <w:shd w:fill="F1F5F8"/>
          </w:tcPr>
          <w:p>
            <w:r>
              <w:rPr>
                <w:sz w:val="15"/>
              </w:rPr>
              <w:t>Payment</w:t>
            </w:r>
          </w:p>
        </w:tc>
        <w:tc>
          <w:tcPr>
            <w:tcW w:type="dxa" w:w="5141"/>
            <w:vAlign w:val="top"/>
            <w:shd w:fill="F1F5F8"/>
          </w:tcPr>
          <w:p>
            <w:r>
              <w:rPr>
                <w:sz w:val="15"/>
              </w:rPr>
              <w:t>No more than 20% nonrefundable exposure before paid conversion gates unless fully covered by customer-backed capital.</w:t>
            </w:r>
          </w:p>
        </w:tc>
      </w:tr>
      <w:tr>
        <w:tc>
          <w:tcPr>
            <w:tcW w:type="dxa" w:w="5141"/>
            <w:vAlign w:val="top"/>
          </w:tcPr>
          <w:p>
            <w:r>
              <w:rPr>
                <w:sz w:val="15"/>
              </w:rPr>
              <w:t>Cancellation</w:t>
            </w:r>
          </w:p>
        </w:tc>
        <w:tc>
          <w:tcPr>
            <w:tcW w:type="dxa" w:w="5141"/>
            <w:vAlign w:val="top"/>
          </w:tcPr>
          <w:p>
            <w:r>
              <w:rPr>
                <w:sz w:val="15"/>
              </w:rPr>
              <w:t>Staged release dates, name changes, unit substitutions, property failure, re-accommodation and refund terms.</w:t>
            </w:r>
          </w:p>
        </w:tc>
      </w:tr>
    </w:tbl>
    <w:p/>
    <w:p>
      <w:pPr>
        <w:pStyle w:val="Heading2"/>
      </w:pPr>
      <w:r>
        <w:t>Public housing leads</w:t>
      </w:r>
    </w:p>
    <w:tbl>
      <w:tblPr>
        <w:tblStyle w:val="TableGrid"/>
        <w:tblW w:type="auto" w:w="0"/>
        <w:jc w:val="center"/>
        <w:tblLook w:firstColumn="1" w:firstRow="1" w:lastColumn="0" w:lastRow="0" w:noHBand="0" w:noVBand="1" w:val="04A0"/>
      </w:tblPr>
      <w:tblGrid>
        <w:gridCol w:w="2056"/>
        <w:gridCol w:w="2056"/>
        <w:gridCol w:w="2056"/>
        <w:gridCol w:w="2056"/>
        <w:gridCol w:w="2056"/>
      </w:tblGrid>
      <w:tr>
        <w:tc>
          <w:tcPr>
            <w:tcW w:type="dxa" w:w="2056"/>
            <w:shd w:fill="1C767D"/>
          </w:tcPr>
          <w:p>
            <w:r>
              <w:rPr>
                <w:b/>
                <w:color w:val="FFFFFF"/>
                <w:sz w:val="15"/>
              </w:rPr>
              <w:t>Track</w:t>
            </w:r>
          </w:p>
        </w:tc>
        <w:tc>
          <w:tcPr>
            <w:tcW w:type="dxa" w:w="2056"/>
            <w:shd w:fill="1C767D"/>
          </w:tcPr>
          <w:p>
            <w:r>
              <w:rPr>
                <w:b/>
                <w:color w:val="FFFFFF"/>
                <w:sz w:val="15"/>
              </w:rPr>
              <w:t>Lead</w:t>
            </w:r>
          </w:p>
        </w:tc>
        <w:tc>
          <w:tcPr>
            <w:tcW w:type="dxa" w:w="2056"/>
            <w:shd w:fill="1C767D"/>
          </w:tcPr>
          <w:p>
            <w:r>
              <w:rPr>
                <w:b/>
                <w:color w:val="FFFFFF"/>
                <w:sz w:val="15"/>
              </w:rPr>
              <w:t>Public scale signal</w:t>
            </w:r>
          </w:p>
        </w:tc>
        <w:tc>
          <w:tcPr>
            <w:tcW w:type="dxa" w:w="2056"/>
            <w:shd w:fill="1C767D"/>
          </w:tcPr>
          <w:p>
            <w:r>
              <w:rPr>
                <w:b/>
                <w:color w:val="FFFFFF"/>
                <w:sz w:val="15"/>
              </w:rPr>
              <w:t>Bid purpose</w:t>
            </w:r>
          </w:p>
        </w:tc>
        <w:tc>
          <w:tcPr>
            <w:tcW w:type="dxa" w:w="2056"/>
            <w:shd w:fill="1C767D"/>
          </w:tcPr>
          <w:p>
            <w:r>
              <w:rPr>
                <w:b/>
                <w:color w:val="FFFFFF"/>
                <w:sz w:val="15"/>
              </w:rPr>
              <w:t>Source</w:t>
            </w:r>
          </w:p>
        </w:tc>
      </w:tr>
      <w:tr>
        <w:tc>
          <w:tcPr>
            <w:tcW w:type="dxa" w:w="2056"/>
            <w:vAlign w:val="top"/>
          </w:tcPr>
          <w:p>
            <w:r>
              <w:rPr>
                <w:sz w:val="15"/>
              </w:rPr>
              <w:t>Cascais</w:t>
            </w:r>
          </w:p>
        </w:tc>
        <w:tc>
          <w:tcPr>
            <w:tcW w:type="dxa" w:w="2056"/>
            <w:vAlign w:val="top"/>
          </w:tcPr>
          <w:p>
            <w:r>
              <w:rPr>
                <w:sz w:val="15"/>
              </w:rPr>
              <w:t>Vila Bicuda</w:t>
            </w:r>
          </w:p>
        </w:tc>
        <w:tc>
          <w:tcPr>
            <w:tcW w:type="dxa" w:w="2056"/>
            <w:vAlign w:val="top"/>
          </w:tcPr>
          <w:p>
            <w:r>
              <w:rPr>
                <w:sz w:val="15"/>
              </w:rPr>
              <w:t>79 villas; high public seasonal retail</w:t>
            </w:r>
          </w:p>
        </w:tc>
        <w:tc>
          <w:tcPr>
            <w:tcW w:type="dxa" w:w="2056"/>
            <w:vAlign w:val="top"/>
          </w:tcPr>
          <w:p>
            <w:r>
              <w:rPr>
                <w:sz w:val="15"/>
              </w:rPr>
              <w:t>Test whether a major group discount and T1/T2 mix can meet cap</w:t>
            </w:r>
          </w:p>
        </w:tc>
        <w:tc>
          <w:tcPr>
            <w:tcW w:type="dxa" w:w="2056"/>
            <w:vAlign w:val="top"/>
          </w:tcPr>
          <w:p>
            <w:r>
              <w:rPr>
                <w:sz w:val="15"/>
              </w:rPr>
              <w:t>S20–S21</w:t>
            </w:r>
          </w:p>
        </w:tc>
      </w:tr>
      <w:tr>
        <w:tc>
          <w:tcPr>
            <w:tcW w:type="dxa" w:w="2056"/>
            <w:vAlign w:val="top"/>
            <w:shd w:fill="F1F5F8"/>
          </w:tcPr>
          <w:p>
            <w:r>
              <w:rPr>
                <w:sz w:val="15"/>
              </w:rPr>
              <w:t>Cascais</w:t>
            </w:r>
          </w:p>
        </w:tc>
        <w:tc>
          <w:tcPr>
            <w:tcW w:type="dxa" w:w="2056"/>
            <w:vAlign w:val="top"/>
            <w:shd w:fill="F1F5F8"/>
          </w:tcPr>
          <w:p>
            <w:r>
              <w:rPr>
                <w:sz w:val="15"/>
              </w:rPr>
              <w:t>NAMA Carcavelos</w:t>
            </w:r>
          </w:p>
        </w:tc>
        <w:tc>
          <w:tcPr>
            <w:tcW w:type="dxa" w:w="2056"/>
            <w:vAlign w:val="top"/>
            <w:shd w:fill="F1F5F8"/>
          </w:tcPr>
          <w:p>
            <w:r>
              <w:rPr>
                <w:sz w:val="15"/>
              </w:rPr>
              <w:t>45 residences planned</w:t>
            </w:r>
          </w:p>
        </w:tc>
        <w:tc>
          <w:tcPr>
            <w:tcW w:type="dxa" w:w="2056"/>
            <w:vAlign w:val="top"/>
            <w:shd w:fill="F1F5F8"/>
          </w:tcPr>
          <w:p>
            <w:r>
              <w:rPr>
                <w:sz w:val="15"/>
              </w:rPr>
              <w:t>Test opening certainty, inventory and delivery risk</w:t>
            </w:r>
          </w:p>
        </w:tc>
        <w:tc>
          <w:tcPr>
            <w:tcW w:type="dxa" w:w="2056"/>
            <w:vAlign w:val="top"/>
            <w:shd w:fill="F1F5F8"/>
          </w:tcPr>
          <w:p>
            <w:r>
              <w:rPr>
                <w:sz w:val="15"/>
              </w:rPr>
              <w:t>S22</w:t>
            </w:r>
          </w:p>
        </w:tc>
      </w:tr>
      <w:tr>
        <w:tc>
          <w:tcPr>
            <w:tcW w:type="dxa" w:w="2056"/>
            <w:vAlign w:val="top"/>
          </w:tcPr>
          <w:p>
            <w:r>
              <w:rPr>
                <w:sz w:val="15"/>
              </w:rPr>
              <w:t>Cascais</w:t>
            </w:r>
          </w:p>
        </w:tc>
        <w:tc>
          <w:tcPr>
            <w:tcW w:type="dxa" w:w="2056"/>
            <w:vAlign w:val="top"/>
          </w:tcPr>
          <w:p>
            <w:r>
              <w:rPr>
                <w:sz w:val="15"/>
              </w:rPr>
              <w:t>Portugal Portfolio</w:t>
            </w:r>
          </w:p>
        </w:tc>
        <w:tc>
          <w:tcPr>
            <w:tcW w:type="dxa" w:w="2056"/>
            <w:vAlign w:val="top"/>
          </w:tcPr>
          <w:p>
            <w:r>
              <w:rPr>
                <w:sz w:val="15"/>
              </w:rPr>
              <w:t>Managed coastal portfolio</w:t>
            </w:r>
          </w:p>
        </w:tc>
        <w:tc>
          <w:tcPr>
            <w:tcW w:type="dxa" w:w="2056"/>
            <w:vAlign w:val="top"/>
          </w:tcPr>
          <w:p>
            <w:r>
              <w:rPr>
                <w:sz w:val="15"/>
              </w:rPr>
              <w:t>Assemble clustered distributed units</w:t>
            </w:r>
          </w:p>
        </w:tc>
        <w:tc>
          <w:tcPr>
            <w:tcW w:type="dxa" w:w="2056"/>
            <w:vAlign w:val="top"/>
          </w:tcPr>
          <w:p>
            <w:r>
              <w:rPr>
                <w:sz w:val="15"/>
              </w:rPr>
              <w:t>S24</w:t>
            </w:r>
          </w:p>
        </w:tc>
      </w:tr>
      <w:tr>
        <w:tc>
          <w:tcPr>
            <w:tcW w:type="dxa" w:w="2056"/>
            <w:vAlign w:val="top"/>
            <w:shd w:fill="F1F5F8"/>
          </w:tcPr>
          <w:p>
            <w:r>
              <w:rPr>
                <w:sz w:val="15"/>
              </w:rPr>
              <w:t>Cascais</w:t>
            </w:r>
          </w:p>
        </w:tc>
        <w:tc>
          <w:tcPr>
            <w:tcW w:type="dxa" w:w="2056"/>
            <w:vAlign w:val="top"/>
            <w:shd w:fill="F1F5F8"/>
          </w:tcPr>
          <w:p>
            <w:r>
              <w:rPr>
                <w:sz w:val="15"/>
              </w:rPr>
              <w:t>Casa de Limão</w:t>
            </w:r>
          </w:p>
        </w:tc>
        <w:tc>
          <w:tcPr>
            <w:tcW w:type="dxa" w:w="2056"/>
            <w:vAlign w:val="top"/>
            <w:shd w:fill="F1F5F8"/>
          </w:tcPr>
          <w:p>
            <w:r>
              <w:rPr>
                <w:sz w:val="15"/>
              </w:rPr>
              <w:t>Three 2BR units</w:t>
            </w:r>
          </w:p>
        </w:tc>
        <w:tc>
          <w:tcPr>
            <w:tcW w:type="dxa" w:w="2056"/>
            <w:vAlign w:val="top"/>
            <w:shd w:fill="F1F5F8"/>
          </w:tcPr>
          <w:p>
            <w:r>
              <w:rPr>
                <w:sz w:val="15"/>
              </w:rPr>
              <w:t>Micro-cluster / premium units</w:t>
            </w:r>
          </w:p>
        </w:tc>
        <w:tc>
          <w:tcPr>
            <w:tcW w:type="dxa" w:w="2056"/>
            <w:vAlign w:val="top"/>
            <w:shd w:fill="F1F5F8"/>
          </w:tcPr>
          <w:p>
            <w:r>
              <w:rPr>
                <w:sz w:val="15"/>
              </w:rPr>
              <w:t>S74</w:t>
            </w:r>
          </w:p>
        </w:tc>
      </w:tr>
      <w:tr>
        <w:tc>
          <w:tcPr>
            <w:tcW w:type="dxa" w:w="2056"/>
            <w:vAlign w:val="top"/>
          </w:tcPr>
          <w:p>
            <w:r>
              <w:rPr>
                <w:sz w:val="15"/>
              </w:rPr>
              <w:t>Porto</w:t>
            </w:r>
          </w:p>
        </w:tc>
        <w:tc>
          <w:tcPr>
            <w:tcW w:type="dxa" w:w="2056"/>
            <w:vAlign w:val="top"/>
          </w:tcPr>
          <w:p>
            <w:r>
              <w:rPr>
                <w:sz w:val="15"/>
              </w:rPr>
              <w:t>Vibrant Host</w:t>
            </w:r>
          </w:p>
        </w:tc>
        <w:tc>
          <w:tcPr>
            <w:tcW w:type="dxa" w:w="2056"/>
            <w:vAlign w:val="top"/>
          </w:tcPr>
          <w:p>
            <w:r>
              <w:rPr>
                <w:sz w:val="15"/>
              </w:rPr>
              <w:t>Eight group-oriented apartments</w:t>
            </w:r>
          </w:p>
        </w:tc>
        <w:tc>
          <w:tcPr>
            <w:tcW w:type="dxa" w:w="2056"/>
            <w:vAlign w:val="top"/>
          </w:tcPr>
          <w:p>
            <w:r>
              <w:rPr>
                <w:sz w:val="15"/>
              </w:rPr>
              <w:t>Core cluster lead</w:t>
            </w:r>
          </w:p>
        </w:tc>
        <w:tc>
          <w:tcPr>
            <w:tcW w:type="dxa" w:w="2056"/>
            <w:vAlign w:val="top"/>
          </w:tcPr>
          <w:p>
            <w:r>
              <w:rPr>
                <w:sz w:val="15"/>
              </w:rPr>
              <w:t>S72</w:t>
            </w:r>
          </w:p>
        </w:tc>
      </w:tr>
      <w:tr>
        <w:tc>
          <w:tcPr>
            <w:tcW w:type="dxa" w:w="2056"/>
            <w:vAlign w:val="top"/>
            <w:shd w:fill="F1F5F8"/>
          </w:tcPr>
          <w:p>
            <w:r>
              <w:rPr>
                <w:sz w:val="15"/>
              </w:rPr>
              <w:t>Porto</w:t>
            </w:r>
          </w:p>
        </w:tc>
        <w:tc>
          <w:tcPr>
            <w:tcW w:type="dxa" w:w="2056"/>
            <w:vAlign w:val="top"/>
            <w:shd w:fill="F1F5F8"/>
          </w:tcPr>
          <w:p>
            <w:r>
              <w:rPr>
                <w:sz w:val="15"/>
              </w:rPr>
              <w:t>Oporto Maison</w:t>
            </w:r>
          </w:p>
        </w:tc>
        <w:tc>
          <w:tcPr>
            <w:tcW w:type="dxa" w:w="2056"/>
            <w:vAlign w:val="top"/>
            <w:shd w:fill="F1F5F8"/>
          </w:tcPr>
          <w:p>
            <w:r>
              <w:rPr>
                <w:sz w:val="15"/>
              </w:rPr>
              <w:t>Multiple apartment buildings</w:t>
            </w:r>
          </w:p>
        </w:tc>
        <w:tc>
          <w:tcPr>
            <w:tcW w:type="dxa" w:w="2056"/>
            <w:vAlign w:val="top"/>
            <w:shd w:fill="F1F5F8"/>
          </w:tcPr>
          <w:p>
            <w:r>
              <w:rPr>
                <w:sz w:val="15"/>
              </w:rPr>
              <w:t>Core serviced-apartment lead</w:t>
            </w:r>
          </w:p>
        </w:tc>
        <w:tc>
          <w:tcPr>
            <w:tcW w:type="dxa" w:w="2056"/>
            <w:vAlign w:val="top"/>
            <w:shd w:fill="F1F5F8"/>
          </w:tcPr>
          <w:p>
            <w:r>
              <w:rPr>
                <w:sz w:val="15"/>
              </w:rPr>
              <w:t>S33–S34,S86</w:t>
            </w:r>
          </w:p>
        </w:tc>
      </w:tr>
      <w:tr>
        <w:tc>
          <w:tcPr>
            <w:tcW w:type="dxa" w:w="2056"/>
            <w:vAlign w:val="top"/>
          </w:tcPr>
          <w:p>
            <w:r>
              <w:rPr>
                <w:sz w:val="15"/>
              </w:rPr>
              <w:t>Porto</w:t>
            </w:r>
          </w:p>
        </w:tc>
        <w:tc>
          <w:tcPr>
            <w:tcW w:type="dxa" w:w="2056"/>
            <w:vAlign w:val="top"/>
          </w:tcPr>
          <w:p>
            <w:r>
              <w:rPr>
                <w:sz w:val="15"/>
              </w:rPr>
              <w:t>Porto Touristic Apartments</w:t>
            </w:r>
          </w:p>
        </w:tc>
        <w:tc>
          <w:tcPr>
            <w:tcW w:type="dxa" w:w="2056"/>
            <w:vAlign w:val="top"/>
          </w:tcPr>
          <w:p>
            <w:r>
              <w:rPr>
                <w:sz w:val="15"/>
              </w:rPr>
              <w:t>Multi-property registered portfolio</w:t>
            </w:r>
          </w:p>
        </w:tc>
        <w:tc>
          <w:tcPr>
            <w:tcW w:type="dxa" w:w="2056"/>
            <w:vAlign w:val="top"/>
          </w:tcPr>
          <w:p>
            <w:r>
              <w:rPr>
                <w:sz w:val="15"/>
              </w:rPr>
              <w:t>Distributed cluster lead</w:t>
            </w:r>
          </w:p>
        </w:tc>
        <w:tc>
          <w:tcPr>
            <w:tcW w:type="dxa" w:w="2056"/>
            <w:vAlign w:val="top"/>
          </w:tcPr>
          <w:p>
            <w:r>
              <w:rPr>
                <w:sz w:val="15"/>
              </w:rPr>
              <w:t>S73</w:t>
            </w:r>
          </w:p>
        </w:tc>
      </w:tr>
      <w:tr>
        <w:tc>
          <w:tcPr>
            <w:tcW w:type="dxa" w:w="2056"/>
            <w:vAlign w:val="top"/>
            <w:shd w:fill="F1F5F8"/>
          </w:tcPr>
          <w:p>
            <w:r>
              <w:rPr>
                <w:sz w:val="15"/>
              </w:rPr>
              <w:t>Porto</w:t>
            </w:r>
          </w:p>
        </w:tc>
        <w:tc>
          <w:tcPr>
            <w:tcW w:type="dxa" w:w="2056"/>
            <w:vAlign w:val="top"/>
            <w:shd w:fill="F1F5F8"/>
          </w:tcPr>
          <w:p>
            <w:r>
              <w:rPr>
                <w:sz w:val="15"/>
              </w:rPr>
              <w:t>Boavista Palace</w:t>
            </w:r>
          </w:p>
        </w:tc>
        <w:tc>
          <w:tcPr>
            <w:tcW w:type="dxa" w:w="2056"/>
            <w:vAlign w:val="top"/>
            <w:shd w:fill="F1F5F8"/>
          </w:tcPr>
          <w:p>
            <w:r>
              <w:rPr>
                <w:sz w:val="15"/>
              </w:rPr>
              <w:t>Serviced-apartment format</w:t>
            </w:r>
          </w:p>
        </w:tc>
        <w:tc>
          <w:tcPr>
            <w:tcW w:type="dxa" w:w="2056"/>
            <w:vAlign w:val="top"/>
            <w:shd w:fill="F1F5F8"/>
          </w:tcPr>
          <w:p>
            <w:r>
              <w:rPr>
                <w:sz w:val="15"/>
              </w:rPr>
              <w:t>Cluster/corporate-stay lead</w:t>
            </w:r>
          </w:p>
        </w:tc>
        <w:tc>
          <w:tcPr>
            <w:tcW w:type="dxa" w:w="2056"/>
            <w:vAlign w:val="top"/>
            <w:shd w:fill="F1F5F8"/>
          </w:tcPr>
          <w:p>
            <w:r>
              <w:rPr>
                <w:sz w:val="15"/>
              </w:rPr>
              <w:t>S62</w:t>
            </w:r>
          </w:p>
        </w:tc>
      </w:tr>
    </w:tbl>
    <w:p/>
    <w:p>
      <w:pPr>
        <w:pStyle w:val="Heading1"/>
      </w:pPr>
      <w:r>
        <w:t>RFP 4 — Insurance broker / underwriter</w:t>
      </w:r>
    </w:p>
    <w:tbl>
      <w:tblPr>
        <w:tblStyle w:val="TableGrid"/>
        <w:tblW w:type="auto" w:w="0"/>
        <w:jc w:val="center"/>
        <w:tblLook w:firstColumn="1" w:firstRow="1" w:lastColumn="0" w:lastRow="0" w:noHBand="0" w:noVBand="1" w:val="04A0"/>
      </w:tblPr>
      <w:tblGrid>
        <w:gridCol w:w="5141"/>
        <w:gridCol w:w="5141"/>
      </w:tblGrid>
      <w:tr>
        <w:tc>
          <w:tcPr>
            <w:tcW w:type="dxa" w:w="5141"/>
            <w:shd w:fill="1C767D"/>
          </w:tcPr>
          <w:p>
            <w:r>
              <w:rPr>
                <w:b/>
                <w:color w:val="FFFFFF"/>
                <w:sz w:val="16"/>
              </w:rPr>
              <w:t>Coverage question</w:t>
            </w:r>
          </w:p>
        </w:tc>
        <w:tc>
          <w:tcPr>
            <w:tcW w:type="dxa" w:w="5141"/>
            <w:shd w:fill="1C767D"/>
          </w:tcPr>
          <w:p>
            <w:r>
              <w:rPr>
                <w:b/>
                <w:color w:val="FFFFFF"/>
                <w:sz w:val="16"/>
              </w:rPr>
              <w:t>Required response</w:t>
            </w:r>
          </w:p>
        </w:tc>
      </w:tr>
      <w:tr>
        <w:tc>
          <w:tcPr>
            <w:tcW w:type="dxa" w:w="5141"/>
            <w:vAlign w:val="top"/>
          </w:tcPr>
          <w:p>
            <w:r>
              <w:rPr>
                <w:sz w:val="16"/>
              </w:rPr>
              <w:t>Named insureds</w:t>
            </w:r>
          </w:p>
        </w:tc>
        <w:tc>
          <w:tcPr>
            <w:tcW w:type="dxa" w:w="5141"/>
            <w:vAlign w:val="top"/>
          </w:tcPr>
          <w:p>
            <w:r>
              <w:rPr>
                <w:sz w:val="16"/>
              </w:rPr>
              <w:t>Proposed U.S. brand, Portuguese organizer, camp operator and additional-insured structure.</w:t>
            </w:r>
          </w:p>
        </w:tc>
      </w:tr>
      <w:tr>
        <w:tc>
          <w:tcPr>
            <w:tcW w:type="dxa" w:w="5141"/>
            <w:vAlign w:val="top"/>
            <w:shd w:fill="F1F5F8"/>
          </w:tcPr>
          <w:p>
            <w:r>
              <w:rPr>
                <w:sz w:val="16"/>
              </w:rPr>
              <w:t>Territory/jurisdiction</w:t>
            </w:r>
          </w:p>
        </w:tc>
        <w:tc>
          <w:tcPr>
            <w:tcW w:type="dxa" w:w="5141"/>
            <w:vAlign w:val="top"/>
            <w:shd w:fill="F1F5F8"/>
          </w:tcPr>
          <w:p>
            <w:r>
              <w:rPr>
                <w:sz w:val="16"/>
              </w:rPr>
              <w:t>Portugal operations, U.S. customers and claims; defense costs and governing-law limitations.</w:t>
            </w:r>
          </w:p>
        </w:tc>
      </w:tr>
      <w:tr>
        <w:tc>
          <w:tcPr>
            <w:tcW w:type="dxa" w:w="5141"/>
            <w:vAlign w:val="top"/>
          </w:tcPr>
          <w:p>
            <w:r>
              <w:rPr>
                <w:sz w:val="16"/>
              </w:rPr>
              <w:t>GL/E&amp;O</w:t>
            </w:r>
          </w:p>
        </w:tc>
        <w:tc>
          <w:tcPr>
            <w:tcW w:type="dxa" w:w="5141"/>
            <w:vAlign w:val="top"/>
          </w:tcPr>
          <w:p>
            <w:r>
              <w:rPr>
                <w:sz w:val="16"/>
              </w:rPr>
              <w:t>Limits, deductibles, occurrence/claims-made basis, retro date and professional/travel-program exclusions.</w:t>
            </w:r>
          </w:p>
        </w:tc>
      </w:tr>
      <w:tr>
        <w:tc>
          <w:tcPr>
            <w:tcW w:type="dxa" w:w="5141"/>
            <w:vAlign w:val="top"/>
            <w:shd w:fill="F1F5F8"/>
          </w:tcPr>
          <w:p>
            <w:r>
              <w:rPr>
                <w:sz w:val="16"/>
              </w:rPr>
              <w:t>Minors</w:t>
            </w:r>
          </w:p>
        </w:tc>
        <w:tc>
          <w:tcPr>
            <w:tcW w:type="dxa" w:w="5141"/>
            <w:vAlign w:val="top"/>
            <w:shd w:fill="F1F5F8"/>
          </w:tcPr>
          <w:p>
            <w:r>
              <w:rPr>
                <w:sz w:val="16"/>
              </w:rPr>
              <w:t>Abuse/molestation, safeguarding, hired/non-owned staff, medical/incident records and exclusions.</w:t>
            </w:r>
          </w:p>
        </w:tc>
      </w:tr>
      <w:tr>
        <w:tc>
          <w:tcPr>
            <w:tcW w:type="dxa" w:w="5141"/>
            <w:vAlign w:val="top"/>
          </w:tcPr>
          <w:p>
            <w:r>
              <w:rPr>
                <w:sz w:val="16"/>
              </w:rPr>
              <w:t>Activities</w:t>
            </w:r>
          </w:p>
        </w:tc>
        <w:tc>
          <w:tcPr>
            <w:tcW w:type="dxa" w:w="5141"/>
            <w:vAlign w:val="top"/>
          </w:tcPr>
          <w:p>
            <w:r>
              <w:rPr>
                <w:sz w:val="16"/>
              </w:rPr>
              <w:t>Beach, surf, sports, excursions, meals and alcohol-free adult events.</w:t>
            </w:r>
          </w:p>
        </w:tc>
      </w:tr>
      <w:tr>
        <w:tc>
          <w:tcPr>
            <w:tcW w:type="dxa" w:w="5141"/>
            <w:vAlign w:val="top"/>
            <w:shd w:fill="F1F5F8"/>
          </w:tcPr>
          <w:p>
            <w:r>
              <w:rPr>
                <w:sz w:val="16"/>
              </w:rPr>
              <w:t>Motor</w:t>
            </w:r>
          </w:p>
        </w:tc>
        <w:tc>
          <w:tcPr>
            <w:tcW w:type="dxa" w:w="5141"/>
            <w:vAlign w:val="top"/>
            <w:shd w:fill="F1F5F8"/>
          </w:tcPr>
          <w:p>
            <w:r>
              <w:rPr>
                <w:sz w:val="16"/>
              </w:rPr>
              <w:t>Airport/excursion transport; vendor auto evidence and non-owned exposure.</w:t>
            </w:r>
          </w:p>
        </w:tc>
      </w:tr>
      <w:tr>
        <w:tc>
          <w:tcPr>
            <w:tcW w:type="dxa" w:w="5141"/>
            <w:vAlign w:val="top"/>
          </w:tcPr>
          <w:p>
            <w:r>
              <w:rPr>
                <w:sz w:val="16"/>
              </w:rPr>
              <w:t>Cyber/privacy</w:t>
            </w:r>
          </w:p>
        </w:tc>
        <w:tc>
          <w:tcPr>
            <w:tcW w:type="dxa" w:w="5141"/>
            <w:vAlign w:val="top"/>
          </w:tcPr>
          <w:p>
            <w:r>
              <w:rPr>
                <w:sz w:val="16"/>
              </w:rPr>
              <w:t>Children’s medical and personal data; breach response.</w:t>
            </w:r>
          </w:p>
        </w:tc>
      </w:tr>
      <w:tr>
        <w:tc>
          <w:tcPr>
            <w:tcW w:type="dxa" w:w="5141"/>
            <w:vAlign w:val="top"/>
            <w:shd w:fill="F1F5F8"/>
          </w:tcPr>
          <w:p>
            <w:r>
              <w:rPr>
                <w:sz w:val="16"/>
              </w:rPr>
              <w:t>Cancellation</w:t>
            </w:r>
          </w:p>
        </w:tc>
        <w:tc>
          <w:tcPr>
            <w:tcW w:type="dxa" w:w="5141"/>
            <w:vAlign w:val="top"/>
            <w:shd w:fill="F1F5F8"/>
          </w:tcPr>
          <w:p>
            <w:r>
              <w:rPr>
                <w:sz w:val="16"/>
              </w:rPr>
              <w:t>Whether any event cancellation/nonappearance coverage is available and its exclusions.</w:t>
            </w:r>
          </w:p>
        </w:tc>
      </w:tr>
      <w:tr>
        <w:tc>
          <w:tcPr>
            <w:tcW w:type="dxa" w:w="5141"/>
            <w:vAlign w:val="top"/>
          </w:tcPr>
          <w:p>
            <w:r>
              <w:rPr>
                <w:sz w:val="16"/>
              </w:rPr>
              <w:t>Quote</w:t>
            </w:r>
          </w:p>
        </w:tc>
        <w:tc>
          <w:tcPr>
            <w:tcW w:type="dxa" w:w="5141"/>
            <w:vAlign w:val="top"/>
          </w:tcPr>
          <w:p>
            <w:r>
              <w:rPr>
                <w:sz w:val="16"/>
              </w:rPr>
              <w:t>Bind-able or indication status, premium, taxes, conditions, required risk controls and expiry.</w:t>
            </w:r>
          </w:p>
        </w:tc>
      </w:tr>
    </w:tbl>
    <w:p/>
    <w:p>
      <w:r>
        <w:t>Planning reserve: €2,000–€6,000 for U.S. brand/program coverage, separate from supplier policies. This is not a quote.</w:t>
      </w:r>
    </w:p>
    <w:p>
      <w:pPr>
        <w:pStyle w:val="Heading1"/>
      </w:pPr>
      <w:r>
        <w:t>RFP 5 — Coworking, activities, transfers and catering</w:t>
      </w:r>
    </w:p>
    <w:tbl>
      <w:tblPr>
        <w:tblStyle w:val="TableGrid"/>
        <w:tblW w:type="auto" w:w="0"/>
        <w:jc w:val="center"/>
        <w:tblLook w:firstColumn="1" w:firstRow="1" w:lastColumn="0" w:lastRow="0" w:noHBand="0" w:noVBand="1" w:val="04A0"/>
      </w:tblPr>
      <w:tblGrid>
        <w:gridCol w:w="3427"/>
        <w:gridCol w:w="3427"/>
        <w:gridCol w:w="3427"/>
      </w:tblGrid>
      <w:tr>
        <w:tc>
          <w:tcPr>
            <w:tcW w:type="dxa" w:w="3427"/>
            <w:shd w:fill="1C767D"/>
          </w:tcPr>
          <w:p>
            <w:r>
              <w:rPr>
                <w:b/>
                <w:color w:val="FFFFFF"/>
                <w:sz w:val="16"/>
              </w:rPr>
              <w:t>Vendor</w:t>
            </w:r>
          </w:p>
        </w:tc>
        <w:tc>
          <w:tcPr>
            <w:tcW w:type="dxa" w:w="3427"/>
            <w:shd w:fill="1C767D"/>
          </w:tcPr>
          <w:p>
            <w:r>
              <w:rPr>
                <w:b/>
                <w:color w:val="FFFFFF"/>
                <w:sz w:val="16"/>
              </w:rPr>
              <w:t>Scope</w:t>
            </w:r>
          </w:p>
        </w:tc>
        <w:tc>
          <w:tcPr>
            <w:tcW w:type="dxa" w:w="3427"/>
            <w:shd w:fill="1C767D"/>
          </w:tcPr>
          <w:p>
            <w:r>
              <w:rPr>
                <w:b/>
                <w:color w:val="FFFFFF"/>
                <w:sz w:val="16"/>
              </w:rPr>
              <w:t>Required proof</w:t>
            </w:r>
          </w:p>
        </w:tc>
      </w:tr>
      <w:tr>
        <w:tc>
          <w:tcPr>
            <w:tcW w:type="dxa" w:w="3427"/>
            <w:vAlign w:val="top"/>
          </w:tcPr>
          <w:p>
            <w:r>
              <w:rPr>
                <w:sz w:val="16"/>
              </w:rPr>
              <w:t>Coworking</w:t>
            </w:r>
          </w:p>
        </w:tc>
        <w:tc>
          <w:tcPr>
            <w:tcW w:type="dxa" w:w="3427"/>
            <w:vAlign w:val="top"/>
          </w:tcPr>
          <w:p>
            <w:r>
              <w:rPr>
                <w:sz w:val="16"/>
              </w:rPr>
              <w:t>20–30 desks/rotating access, private call rooms, reliable tested bandwidth, local hours, four-week rate.</w:t>
            </w:r>
          </w:p>
        </w:tc>
        <w:tc>
          <w:tcPr>
            <w:tcW w:type="dxa" w:w="3427"/>
            <w:vAlign w:val="top"/>
          </w:tcPr>
          <w:p>
            <w:r>
              <w:rPr>
                <w:sz w:val="16"/>
              </w:rPr>
              <w:t>Business identity, service terms, capacity and backup connectivity.</w:t>
            </w:r>
          </w:p>
        </w:tc>
      </w:tr>
      <w:tr>
        <w:tc>
          <w:tcPr>
            <w:tcW w:type="dxa" w:w="3427"/>
            <w:vAlign w:val="top"/>
            <w:shd w:fill="F1F5F8"/>
          </w:tcPr>
          <w:p>
            <w:r>
              <w:rPr>
                <w:sz w:val="16"/>
              </w:rPr>
              <w:t>Transfers</w:t>
            </w:r>
          </w:p>
        </w:tc>
        <w:tc>
          <w:tcPr>
            <w:tcW w:type="dxa" w:w="3427"/>
            <w:vAlign w:val="top"/>
            <w:shd w:fill="F1F5F8"/>
          </w:tcPr>
          <w:p>
            <w:r>
              <w:rPr>
                <w:sz w:val="16"/>
              </w:rPr>
              <w:t>Airport and selected excursion transport; family luggage and child restraints.</w:t>
            </w:r>
          </w:p>
        </w:tc>
        <w:tc>
          <w:tcPr>
            <w:tcW w:type="dxa" w:w="3427"/>
            <w:vAlign w:val="top"/>
            <w:shd w:fill="F1F5F8"/>
          </w:tcPr>
          <w:p>
            <w:r>
              <w:rPr>
                <w:sz w:val="16"/>
              </w:rPr>
              <w:t>Operator/license, auto insurance, vehicle/driver list, cancellation and delay plan.</w:t>
            </w:r>
          </w:p>
        </w:tc>
      </w:tr>
      <w:tr>
        <w:tc>
          <w:tcPr>
            <w:tcW w:type="dxa" w:w="3427"/>
            <w:vAlign w:val="top"/>
          </w:tcPr>
          <w:p>
            <w:r>
              <w:rPr>
                <w:sz w:val="16"/>
              </w:rPr>
              <w:t>Activities</w:t>
            </w:r>
          </w:p>
        </w:tc>
        <w:tc>
          <w:tcPr>
            <w:tcW w:type="dxa" w:w="3427"/>
            <w:vAlign w:val="top"/>
          </w:tcPr>
          <w:p>
            <w:r>
              <w:rPr>
                <w:sz w:val="16"/>
              </w:rPr>
              <w:t>Family opening/closing, weekly family event, adult anchors and optional excursions.</w:t>
            </w:r>
          </w:p>
        </w:tc>
        <w:tc>
          <w:tcPr>
            <w:tcW w:type="dxa" w:w="3427"/>
            <w:vAlign w:val="top"/>
          </w:tcPr>
          <w:p>
            <w:r>
              <w:rPr>
                <w:sz w:val="16"/>
              </w:rPr>
              <w:t>Registration, insurance, capacity, weather/cancellation, all-in group rate.</w:t>
            </w:r>
          </w:p>
        </w:tc>
      </w:tr>
      <w:tr>
        <w:tc>
          <w:tcPr>
            <w:tcW w:type="dxa" w:w="3427"/>
            <w:vAlign w:val="top"/>
            <w:shd w:fill="F1F5F8"/>
          </w:tcPr>
          <w:p>
            <w:r>
              <w:rPr>
                <w:sz w:val="16"/>
              </w:rPr>
              <w:t>Catering</w:t>
            </w:r>
          </w:p>
        </w:tc>
        <w:tc>
          <w:tcPr>
            <w:tcW w:type="dxa" w:w="3427"/>
            <w:vAlign w:val="top"/>
            <w:shd w:fill="F1F5F8"/>
          </w:tcPr>
          <w:p>
            <w:r>
              <w:rPr>
                <w:sz w:val="16"/>
              </w:rPr>
              <w:t>Camp dinners/snacks and selected events.</w:t>
            </w:r>
          </w:p>
        </w:tc>
        <w:tc>
          <w:tcPr>
            <w:tcW w:type="dxa" w:w="3427"/>
            <w:vAlign w:val="top"/>
            <w:shd w:fill="F1F5F8"/>
          </w:tcPr>
          <w:p>
            <w:r>
              <w:rPr>
                <w:sz w:val="16"/>
              </w:rPr>
              <w:t>Food-business evidence, menu, allergen process, delivery/hot-hold plan, per-head rate.</w:t>
            </w:r>
          </w:p>
        </w:tc>
      </w:tr>
    </w:tbl>
    <w:p/>
    <w:p>
      <w:pPr>
        <w:pStyle w:val="Heading1"/>
      </w:pPr>
      <w:r>
        <w:t>Commercial response template</w:t>
      </w:r>
    </w:p>
    <w:tbl>
      <w:tblPr>
        <w:tblStyle w:val="TableGrid"/>
        <w:tblW w:type="auto" w:w="0"/>
        <w:jc w:val="center"/>
        <w:tblLook w:firstColumn="1" w:firstRow="1" w:lastColumn="0" w:lastRow="0" w:noHBand="0" w:noVBand="1" w:val="04A0"/>
      </w:tblPr>
      <w:tblGrid>
        <w:gridCol w:w="5141"/>
        <w:gridCol w:w="5141"/>
      </w:tblGrid>
      <w:tr>
        <w:tc>
          <w:tcPr>
            <w:tcW w:type="dxa" w:w="5141"/>
            <w:shd w:fill="1C767D"/>
          </w:tcPr>
          <w:p>
            <w:r>
              <w:rPr>
                <w:b/>
                <w:color w:val="FFFFFF"/>
                <w:sz w:val="17"/>
              </w:rPr>
              <w:t>Line</w:t>
            </w:r>
          </w:p>
        </w:tc>
        <w:tc>
          <w:tcPr>
            <w:tcW w:type="dxa" w:w="5141"/>
            <w:shd w:fill="1C767D"/>
          </w:tcPr>
          <w:p>
            <w:r>
              <w:rPr>
                <w:b/>
                <w:color w:val="FFFFFF"/>
                <w:sz w:val="17"/>
              </w:rPr>
              <w:t>Supplier response</w:t>
            </w:r>
          </w:p>
        </w:tc>
      </w:tr>
      <w:tr>
        <w:tc>
          <w:tcPr>
            <w:tcW w:type="dxa" w:w="5141"/>
            <w:vAlign w:val="top"/>
          </w:tcPr>
          <w:p>
            <w:r>
              <w:rPr>
                <w:sz w:val="17"/>
              </w:rPr>
              <w:t>Legal entity / registration</w:t>
            </w:r>
          </w:p>
        </w:tc>
        <w:tc>
          <w:tcPr>
            <w:tcW w:type="dxa" w:w="5141"/>
            <w:vAlign w:val="top"/>
          </w:tcPr>
          <w:p>
            <w:r>
              <w:rPr>
                <w:sz w:val="17"/>
              </w:rPr>
            </w:r>
          </w:p>
        </w:tc>
      </w:tr>
      <w:tr>
        <w:tc>
          <w:tcPr>
            <w:tcW w:type="dxa" w:w="5141"/>
            <w:vAlign w:val="top"/>
            <w:shd w:fill="F1F5F8"/>
          </w:tcPr>
          <w:p>
            <w:r>
              <w:rPr>
                <w:sz w:val="17"/>
              </w:rPr>
              <w:t>Service dates / availability</w:t>
            </w:r>
          </w:p>
        </w:tc>
        <w:tc>
          <w:tcPr>
            <w:tcW w:type="dxa" w:w="5141"/>
            <w:vAlign w:val="top"/>
            <w:shd w:fill="F1F5F8"/>
          </w:tcPr>
          <w:p>
            <w:r>
              <w:rPr>
                <w:sz w:val="17"/>
              </w:rPr>
            </w:r>
          </w:p>
        </w:tc>
      </w:tr>
      <w:tr>
        <w:tc>
          <w:tcPr>
            <w:tcW w:type="dxa" w:w="5141"/>
            <w:vAlign w:val="top"/>
          </w:tcPr>
          <w:p>
            <w:r>
              <w:rPr>
                <w:sz w:val="17"/>
              </w:rPr>
              <w:t>Capacity / minimum guarantee</w:t>
            </w:r>
          </w:p>
        </w:tc>
        <w:tc>
          <w:tcPr>
            <w:tcW w:type="dxa" w:w="5141"/>
            <w:vAlign w:val="top"/>
          </w:tcPr>
          <w:p>
            <w:r>
              <w:rPr>
                <w:sz w:val="17"/>
              </w:rPr>
            </w:r>
          </w:p>
        </w:tc>
      </w:tr>
      <w:tr>
        <w:tc>
          <w:tcPr>
            <w:tcW w:type="dxa" w:w="5141"/>
            <w:vAlign w:val="top"/>
            <w:shd w:fill="F1F5F8"/>
          </w:tcPr>
          <w:p>
            <w:r>
              <w:rPr>
                <w:sz w:val="17"/>
              </w:rPr>
              <w:t>Base price before VAT/tax</w:t>
            </w:r>
          </w:p>
        </w:tc>
        <w:tc>
          <w:tcPr>
            <w:tcW w:type="dxa" w:w="5141"/>
            <w:vAlign w:val="top"/>
            <w:shd w:fill="F1F5F8"/>
          </w:tcPr>
          <w:p>
            <w:r>
              <w:rPr>
                <w:sz w:val="17"/>
              </w:rPr>
            </w:r>
          </w:p>
        </w:tc>
      </w:tr>
      <w:tr>
        <w:tc>
          <w:tcPr>
            <w:tcW w:type="dxa" w:w="5141"/>
            <w:vAlign w:val="top"/>
          </w:tcPr>
          <w:p>
            <w:r>
              <w:rPr>
                <w:sz w:val="17"/>
              </w:rPr>
              <w:t>VAT/taxes/mandatory fees</w:t>
            </w:r>
          </w:p>
        </w:tc>
        <w:tc>
          <w:tcPr>
            <w:tcW w:type="dxa" w:w="5141"/>
            <w:vAlign w:val="top"/>
          </w:tcPr>
          <w:p>
            <w:r>
              <w:rPr>
                <w:sz w:val="17"/>
              </w:rPr>
            </w:r>
          </w:p>
        </w:tc>
      </w:tr>
      <w:tr>
        <w:tc>
          <w:tcPr>
            <w:tcW w:type="dxa" w:w="5141"/>
            <w:vAlign w:val="top"/>
            <w:shd w:fill="F1F5F8"/>
          </w:tcPr>
          <w:p>
            <w:r>
              <w:rPr>
                <w:sz w:val="17"/>
              </w:rPr>
              <w:t>All-in price</w:t>
            </w:r>
          </w:p>
        </w:tc>
        <w:tc>
          <w:tcPr>
            <w:tcW w:type="dxa" w:w="5141"/>
            <w:vAlign w:val="top"/>
            <w:shd w:fill="F1F5F8"/>
          </w:tcPr>
          <w:p>
            <w:r>
              <w:rPr>
                <w:sz w:val="17"/>
              </w:rPr>
            </w:r>
          </w:p>
        </w:tc>
      </w:tr>
      <w:tr>
        <w:tc>
          <w:tcPr>
            <w:tcW w:type="dxa" w:w="5141"/>
            <w:vAlign w:val="top"/>
          </w:tcPr>
          <w:p>
            <w:r>
              <w:rPr>
                <w:sz w:val="17"/>
              </w:rPr>
              <w:t>Deposit / nonrefundable amount</w:t>
            </w:r>
          </w:p>
        </w:tc>
        <w:tc>
          <w:tcPr>
            <w:tcW w:type="dxa" w:w="5141"/>
            <w:vAlign w:val="top"/>
          </w:tcPr>
          <w:p>
            <w:r>
              <w:rPr>
                <w:sz w:val="17"/>
              </w:rPr>
            </w:r>
          </w:p>
        </w:tc>
      </w:tr>
      <w:tr>
        <w:tc>
          <w:tcPr>
            <w:tcW w:type="dxa" w:w="5141"/>
            <w:vAlign w:val="top"/>
            <w:shd w:fill="F1F5F8"/>
          </w:tcPr>
          <w:p>
            <w:r>
              <w:rPr>
                <w:sz w:val="17"/>
              </w:rPr>
              <w:t>Payment dates</w:t>
            </w:r>
          </w:p>
        </w:tc>
        <w:tc>
          <w:tcPr>
            <w:tcW w:type="dxa" w:w="5141"/>
            <w:vAlign w:val="top"/>
            <w:shd w:fill="F1F5F8"/>
          </w:tcPr>
          <w:p>
            <w:r>
              <w:rPr>
                <w:sz w:val="17"/>
              </w:rPr>
            </w:r>
          </w:p>
        </w:tc>
      </w:tr>
      <w:tr>
        <w:tc>
          <w:tcPr>
            <w:tcW w:type="dxa" w:w="5141"/>
            <w:vAlign w:val="top"/>
          </w:tcPr>
          <w:p>
            <w:r>
              <w:rPr>
                <w:sz w:val="17"/>
              </w:rPr>
              <w:t>Cancellation / attrition</w:t>
            </w:r>
          </w:p>
        </w:tc>
        <w:tc>
          <w:tcPr>
            <w:tcW w:type="dxa" w:w="5141"/>
            <w:vAlign w:val="top"/>
          </w:tcPr>
          <w:p>
            <w:r>
              <w:rPr>
                <w:sz w:val="17"/>
              </w:rPr>
            </w:r>
          </w:p>
        </w:tc>
      </w:tr>
      <w:tr>
        <w:tc>
          <w:tcPr>
            <w:tcW w:type="dxa" w:w="5141"/>
            <w:vAlign w:val="top"/>
            <w:shd w:fill="F1F5F8"/>
          </w:tcPr>
          <w:p>
            <w:r>
              <w:rPr>
                <w:sz w:val="17"/>
              </w:rPr>
              <w:t>Substitution / failure remedy</w:t>
            </w:r>
          </w:p>
        </w:tc>
        <w:tc>
          <w:tcPr>
            <w:tcW w:type="dxa" w:w="5141"/>
            <w:vAlign w:val="top"/>
            <w:shd w:fill="F1F5F8"/>
          </w:tcPr>
          <w:p>
            <w:r>
              <w:rPr>
                <w:sz w:val="17"/>
              </w:rPr>
            </w:r>
          </w:p>
        </w:tc>
      </w:tr>
      <w:tr>
        <w:tc>
          <w:tcPr>
            <w:tcW w:type="dxa" w:w="5141"/>
            <w:vAlign w:val="top"/>
          </w:tcPr>
          <w:p>
            <w:r>
              <w:rPr>
                <w:sz w:val="17"/>
              </w:rPr>
              <w:t>Insurance evidence</w:t>
            </w:r>
          </w:p>
        </w:tc>
        <w:tc>
          <w:tcPr>
            <w:tcW w:type="dxa" w:w="5141"/>
            <w:vAlign w:val="top"/>
          </w:tcPr>
          <w:p>
            <w:r>
              <w:rPr>
                <w:sz w:val="17"/>
              </w:rPr>
            </w:r>
          </w:p>
        </w:tc>
      </w:tr>
      <w:tr>
        <w:tc>
          <w:tcPr>
            <w:tcW w:type="dxa" w:w="5141"/>
            <w:vAlign w:val="top"/>
            <w:shd w:fill="F1F5F8"/>
          </w:tcPr>
          <w:p>
            <w:r>
              <w:rPr>
                <w:sz w:val="17"/>
              </w:rPr>
              <w:t>Bid validity / hold expiry</w:t>
            </w:r>
          </w:p>
        </w:tc>
        <w:tc>
          <w:tcPr>
            <w:tcW w:type="dxa" w:w="5141"/>
            <w:vAlign w:val="top"/>
            <w:shd w:fill="F1F5F8"/>
          </w:tcPr>
          <w:p>
            <w:r>
              <w:rPr>
                <w:sz w:val="17"/>
              </w:rPr>
            </w:r>
          </w:p>
        </w:tc>
      </w:tr>
      <w:tr>
        <w:tc>
          <w:tcPr>
            <w:tcW w:type="dxa" w:w="5141"/>
            <w:vAlign w:val="top"/>
          </w:tcPr>
          <w:p>
            <w:r>
              <w:rPr>
                <w:sz w:val="17"/>
              </w:rPr>
              <w:t>Assumptions / exclusions</w:t>
            </w:r>
          </w:p>
        </w:tc>
        <w:tc>
          <w:tcPr>
            <w:tcW w:type="dxa" w:w="5141"/>
            <w:vAlign w:val="top"/>
          </w:tcPr>
          <w:p>
            <w:r>
              <w:rPr>
                <w:sz w:val="17"/>
              </w:rPr>
            </w:r>
          </w:p>
        </w:tc>
      </w:tr>
    </w:tbl>
    <w:p/>
    <w:p>
      <w:pPr>
        <w:pStyle w:val="Heading1"/>
      </w:pPr>
      <w:r>
        <w:t>Normalized scorecards</w:t>
      </w:r>
    </w:p>
    <w:tbl>
      <w:tblPr>
        <w:tblStyle w:val="TableGrid"/>
        <w:tblW w:type="auto" w:w="0"/>
        <w:jc w:val="center"/>
        <w:tblLook w:firstColumn="1" w:firstRow="1" w:lastColumn="0" w:lastRow="0" w:noHBand="0" w:noVBand="1" w:val="04A0"/>
      </w:tblPr>
      <w:tblGrid>
        <w:gridCol w:w="5141"/>
        <w:gridCol w:w="5141"/>
      </w:tblGrid>
      <w:tr>
        <w:tc>
          <w:tcPr>
            <w:tcW w:type="dxa" w:w="5141"/>
            <w:shd w:fill="1C767D"/>
          </w:tcPr>
          <w:p>
            <w:r>
              <w:rPr>
                <w:b/>
                <w:color w:val="FFFFFF"/>
                <w:sz w:val="17"/>
              </w:rPr>
              <w:t>Camp criterion</w:t>
            </w:r>
          </w:p>
        </w:tc>
        <w:tc>
          <w:tcPr>
            <w:tcW w:type="dxa" w:w="5141"/>
            <w:shd w:fill="1C767D"/>
          </w:tcPr>
          <w:p>
            <w:r>
              <w:rPr>
                <w:b/>
                <w:color w:val="FFFFFF"/>
                <w:sz w:val="17"/>
              </w:rPr>
              <w:t>Weight</w:t>
            </w:r>
          </w:p>
        </w:tc>
      </w:tr>
      <w:tr>
        <w:tc>
          <w:tcPr>
            <w:tcW w:type="dxa" w:w="5141"/>
            <w:vAlign w:val="top"/>
          </w:tcPr>
          <w:p>
            <w:r>
              <w:rPr>
                <w:sz w:val="17"/>
              </w:rPr>
              <w:t>Legal/registry/insurance completeness</w:t>
            </w:r>
          </w:p>
        </w:tc>
        <w:tc>
          <w:tcPr>
            <w:tcW w:type="dxa" w:w="5141"/>
            <w:vAlign w:val="top"/>
          </w:tcPr>
          <w:p>
            <w:r>
              <w:rPr>
                <w:sz w:val="17"/>
              </w:rPr>
              <w:t>20%</w:t>
            </w:r>
          </w:p>
        </w:tc>
      </w:tr>
      <w:tr>
        <w:tc>
          <w:tcPr>
            <w:tcW w:type="dxa" w:w="5141"/>
            <w:vAlign w:val="top"/>
            <w:shd w:fill="F1F5F8"/>
          </w:tcPr>
          <w:p>
            <w:r>
              <w:rPr>
                <w:sz w:val="17"/>
              </w:rPr>
              <w:t>Safeguarding and staff quality</w:t>
            </w:r>
          </w:p>
        </w:tc>
        <w:tc>
          <w:tcPr>
            <w:tcW w:type="dxa" w:w="5141"/>
            <w:vAlign w:val="top"/>
            <w:shd w:fill="F1F5F8"/>
          </w:tcPr>
          <w:p>
            <w:r>
              <w:rPr>
                <w:sz w:val="17"/>
              </w:rPr>
              <w:t>20%</w:t>
            </w:r>
          </w:p>
        </w:tc>
      </w:tr>
      <w:tr>
        <w:tc>
          <w:tcPr>
            <w:tcW w:type="dxa" w:w="5141"/>
            <w:vAlign w:val="top"/>
          </w:tcPr>
          <w:p>
            <w:r>
              <w:rPr>
                <w:sz w:val="17"/>
              </w:rPr>
              <w:t>Ability to deliver late schedule</w:t>
            </w:r>
          </w:p>
        </w:tc>
        <w:tc>
          <w:tcPr>
            <w:tcW w:type="dxa" w:w="5141"/>
            <w:vAlign w:val="top"/>
          </w:tcPr>
          <w:p>
            <w:r>
              <w:rPr>
                <w:sz w:val="17"/>
              </w:rPr>
              <w:t>20%</w:t>
            </w:r>
          </w:p>
        </w:tc>
      </w:tr>
      <w:tr>
        <w:tc>
          <w:tcPr>
            <w:tcW w:type="dxa" w:w="5141"/>
            <w:vAlign w:val="top"/>
            <w:shd w:fill="F1F5F8"/>
          </w:tcPr>
          <w:p>
            <w:r>
              <w:rPr>
                <w:sz w:val="17"/>
              </w:rPr>
              <w:t>Program/meal/venue quality</w:t>
            </w:r>
          </w:p>
        </w:tc>
        <w:tc>
          <w:tcPr>
            <w:tcW w:type="dxa" w:w="5141"/>
            <w:vAlign w:val="top"/>
            <w:shd w:fill="F1F5F8"/>
          </w:tcPr>
          <w:p>
            <w:r>
              <w:rPr>
                <w:sz w:val="17"/>
              </w:rPr>
              <w:t>15%</w:t>
            </w:r>
          </w:p>
        </w:tc>
      </w:tr>
      <w:tr>
        <w:tc>
          <w:tcPr>
            <w:tcW w:type="dxa" w:w="5141"/>
            <w:vAlign w:val="top"/>
          </w:tcPr>
          <w:p>
            <w:r>
              <w:rPr>
                <w:sz w:val="17"/>
              </w:rPr>
              <w:t>Price and commercial terms</w:t>
            </w:r>
          </w:p>
        </w:tc>
        <w:tc>
          <w:tcPr>
            <w:tcW w:type="dxa" w:w="5141"/>
            <w:vAlign w:val="top"/>
          </w:tcPr>
          <w:p>
            <w:r>
              <w:rPr>
                <w:sz w:val="17"/>
              </w:rPr>
              <w:t>15%</w:t>
            </w:r>
          </w:p>
        </w:tc>
      </w:tr>
      <w:tr>
        <w:tc>
          <w:tcPr>
            <w:tcW w:type="dxa" w:w="5141"/>
            <w:vAlign w:val="top"/>
            <w:shd w:fill="F1F5F8"/>
          </w:tcPr>
          <w:p>
            <w:r>
              <w:rPr>
                <w:sz w:val="17"/>
              </w:rPr>
              <w:t>Location/transport</w:t>
            </w:r>
          </w:p>
        </w:tc>
        <w:tc>
          <w:tcPr>
            <w:tcW w:type="dxa" w:w="5141"/>
            <w:vAlign w:val="top"/>
            <w:shd w:fill="F1F5F8"/>
          </w:tcPr>
          <w:p>
            <w:r>
              <w:rPr>
                <w:sz w:val="17"/>
              </w:rPr>
              <w:t>10%</w:t>
            </w:r>
          </w:p>
        </w:tc>
      </w:tr>
    </w:tbl>
    <w:p/>
    <w:tbl>
      <w:tblPr>
        <w:tblStyle w:val="TableGrid"/>
        <w:tblW w:type="auto" w:w="0"/>
        <w:jc w:val="center"/>
        <w:tblLook w:firstColumn="1" w:firstRow="1" w:lastColumn="0" w:lastRow="0" w:noHBand="0" w:noVBand="1" w:val="04A0"/>
      </w:tblPr>
      <w:tblGrid>
        <w:gridCol w:w="5141"/>
        <w:gridCol w:w="5141"/>
      </w:tblGrid>
      <w:tr>
        <w:tc>
          <w:tcPr>
            <w:tcW w:type="dxa" w:w="5141"/>
            <w:shd w:fill="1C767D"/>
          </w:tcPr>
          <w:p>
            <w:r>
              <w:rPr>
                <w:b/>
                <w:color w:val="FFFFFF"/>
                <w:sz w:val="17"/>
              </w:rPr>
              <w:t>Housing criterion</w:t>
            </w:r>
          </w:p>
        </w:tc>
        <w:tc>
          <w:tcPr>
            <w:tcW w:type="dxa" w:w="5141"/>
            <w:shd w:fill="1C767D"/>
          </w:tcPr>
          <w:p>
            <w:r>
              <w:rPr>
                <w:b/>
                <w:color w:val="FFFFFF"/>
                <w:sz w:val="17"/>
              </w:rPr>
              <w:t>Weight</w:t>
            </w:r>
          </w:p>
        </w:tc>
      </w:tr>
      <w:tr>
        <w:tc>
          <w:tcPr>
            <w:tcW w:type="dxa" w:w="5141"/>
            <w:vAlign w:val="top"/>
          </w:tcPr>
          <w:p>
            <w:r>
              <w:rPr>
                <w:sz w:val="17"/>
              </w:rPr>
              <w:t>Exact 2027 inventory and licensing</w:t>
            </w:r>
          </w:p>
        </w:tc>
        <w:tc>
          <w:tcPr>
            <w:tcW w:type="dxa" w:w="5141"/>
            <w:vAlign w:val="top"/>
          </w:tcPr>
          <w:p>
            <w:r>
              <w:rPr>
                <w:sz w:val="17"/>
              </w:rPr>
              <w:t>25%</w:t>
            </w:r>
          </w:p>
        </w:tc>
      </w:tr>
      <w:tr>
        <w:tc>
          <w:tcPr>
            <w:tcW w:type="dxa" w:w="5141"/>
            <w:vAlign w:val="top"/>
            <w:shd w:fill="F1F5F8"/>
          </w:tcPr>
          <w:p>
            <w:r>
              <w:rPr>
                <w:sz w:val="17"/>
              </w:rPr>
              <w:t>Average all-in cost</w:t>
            </w:r>
          </w:p>
        </w:tc>
        <w:tc>
          <w:tcPr>
            <w:tcW w:type="dxa" w:w="5141"/>
            <w:vAlign w:val="top"/>
            <w:shd w:fill="F1F5F8"/>
          </w:tcPr>
          <w:p>
            <w:r>
              <w:rPr>
                <w:sz w:val="17"/>
              </w:rPr>
              <w:t>25%</w:t>
            </w:r>
          </w:p>
        </w:tc>
      </w:tr>
      <w:tr>
        <w:tc>
          <w:tcPr>
            <w:tcW w:type="dxa" w:w="5141"/>
            <w:vAlign w:val="top"/>
          </w:tcPr>
          <w:p>
            <w:r>
              <w:rPr>
                <w:sz w:val="17"/>
              </w:rPr>
              <w:t>Cluster/travel time</w:t>
            </w:r>
          </w:p>
        </w:tc>
        <w:tc>
          <w:tcPr>
            <w:tcW w:type="dxa" w:w="5141"/>
            <w:vAlign w:val="top"/>
          </w:tcPr>
          <w:p>
            <w:r>
              <w:rPr>
                <w:sz w:val="17"/>
              </w:rPr>
              <w:t>20%</w:t>
            </w:r>
          </w:p>
        </w:tc>
      </w:tr>
      <w:tr>
        <w:tc>
          <w:tcPr>
            <w:tcW w:type="dxa" w:w="5141"/>
            <w:vAlign w:val="top"/>
            <w:shd w:fill="F1F5F8"/>
          </w:tcPr>
          <w:p>
            <w:r>
              <w:rPr>
                <w:sz w:val="17"/>
              </w:rPr>
              <w:t>Unit quality/family suitability</w:t>
            </w:r>
          </w:p>
        </w:tc>
        <w:tc>
          <w:tcPr>
            <w:tcW w:type="dxa" w:w="5141"/>
            <w:vAlign w:val="top"/>
            <w:shd w:fill="F1F5F8"/>
          </w:tcPr>
          <w:p>
            <w:r>
              <w:rPr>
                <w:sz w:val="17"/>
              </w:rPr>
              <w:t>15%</w:t>
            </w:r>
          </w:p>
        </w:tc>
      </w:tr>
      <w:tr>
        <w:tc>
          <w:tcPr>
            <w:tcW w:type="dxa" w:w="5141"/>
            <w:vAlign w:val="top"/>
          </w:tcPr>
          <w:p>
            <w:r>
              <w:rPr>
                <w:sz w:val="17"/>
              </w:rPr>
              <w:t>Cancellation/payment terms</w:t>
            </w:r>
          </w:p>
        </w:tc>
        <w:tc>
          <w:tcPr>
            <w:tcW w:type="dxa" w:w="5141"/>
            <w:vAlign w:val="top"/>
          </w:tcPr>
          <w:p>
            <w:r>
              <w:rPr>
                <w:sz w:val="17"/>
              </w:rPr>
              <w:t>10%</w:t>
            </w:r>
          </w:p>
        </w:tc>
      </w:tr>
      <w:tr>
        <w:tc>
          <w:tcPr>
            <w:tcW w:type="dxa" w:w="5141"/>
            <w:vAlign w:val="top"/>
            <w:shd w:fill="F1F5F8"/>
          </w:tcPr>
          <w:p>
            <w:r>
              <w:rPr>
                <w:sz w:val="17"/>
              </w:rPr>
              <w:t>Operations/SLA</w:t>
            </w:r>
          </w:p>
        </w:tc>
        <w:tc>
          <w:tcPr>
            <w:tcW w:type="dxa" w:w="5141"/>
            <w:vAlign w:val="top"/>
            <w:shd w:fill="F1F5F8"/>
          </w:tcPr>
          <w:p>
            <w:r>
              <w:rPr>
                <w:sz w:val="17"/>
              </w:rPr>
              <w:t>5%</w:t>
            </w:r>
          </w:p>
        </w:tc>
      </w:tr>
    </w:tbl>
    <w:p/>
    <w:tbl>
      <w:tblPr>
        <w:tblStyle w:val="TableGrid"/>
        <w:tblW w:type="auto" w:w="0"/>
        <w:jc w:val="center"/>
        <w:tblLook w:firstColumn="1" w:firstRow="1" w:lastColumn="0" w:lastRow="0" w:noHBand="0" w:noVBand="1" w:val="04A0"/>
      </w:tblPr>
      <w:tblGrid>
        <w:gridCol w:w="5141"/>
        <w:gridCol w:w="5141"/>
      </w:tblGrid>
      <w:tr>
        <w:tc>
          <w:tcPr>
            <w:tcW w:type="dxa" w:w="5141"/>
            <w:shd w:fill="1C767D"/>
          </w:tcPr>
          <w:p>
            <w:r>
              <w:rPr>
                <w:b/>
                <w:color w:val="FFFFFF"/>
                <w:sz w:val="17"/>
              </w:rPr>
              <w:t>Organizer criterion</w:t>
            </w:r>
          </w:p>
        </w:tc>
        <w:tc>
          <w:tcPr>
            <w:tcW w:type="dxa" w:w="5141"/>
            <w:shd w:fill="1C767D"/>
          </w:tcPr>
          <w:p>
            <w:r>
              <w:rPr>
                <w:b/>
                <w:color w:val="FFFFFF"/>
                <w:sz w:val="17"/>
              </w:rPr>
              <w:t>Weight</w:t>
            </w:r>
          </w:p>
        </w:tc>
      </w:tr>
      <w:tr>
        <w:tc>
          <w:tcPr>
            <w:tcW w:type="dxa" w:w="5141"/>
            <w:vAlign w:val="top"/>
          </w:tcPr>
          <w:p>
            <w:r>
              <w:rPr>
                <w:sz w:val="17"/>
              </w:rPr>
              <w:t>RNAVT/insurance/FGVT/fund flow</w:t>
            </w:r>
          </w:p>
        </w:tc>
        <w:tc>
          <w:tcPr>
            <w:tcW w:type="dxa" w:w="5141"/>
            <w:vAlign w:val="top"/>
          </w:tcPr>
          <w:p>
            <w:r>
              <w:rPr>
                <w:sz w:val="17"/>
              </w:rPr>
              <w:t>30%</w:t>
            </w:r>
          </w:p>
        </w:tc>
      </w:tr>
      <w:tr>
        <w:tc>
          <w:tcPr>
            <w:tcW w:type="dxa" w:w="5141"/>
            <w:vAlign w:val="top"/>
            <w:shd w:fill="F1F5F8"/>
          </w:tcPr>
          <w:p>
            <w:r>
              <w:rPr>
                <w:sz w:val="17"/>
              </w:rPr>
              <w:t>Package/customer/refund capability</w:t>
            </w:r>
          </w:p>
        </w:tc>
        <w:tc>
          <w:tcPr>
            <w:tcW w:type="dxa" w:w="5141"/>
            <w:vAlign w:val="top"/>
            <w:shd w:fill="F1F5F8"/>
          </w:tcPr>
          <w:p>
            <w:r>
              <w:rPr>
                <w:sz w:val="17"/>
              </w:rPr>
              <w:t>25%</w:t>
            </w:r>
          </w:p>
        </w:tc>
      </w:tr>
      <w:tr>
        <w:tc>
          <w:tcPr>
            <w:tcW w:type="dxa" w:w="5141"/>
            <w:vAlign w:val="top"/>
          </w:tcPr>
          <w:p>
            <w:r>
              <w:rPr>
                <w:sz w:val="17"/>
              </w:rPr>
              <w:t>Tax/commercial clarity</w:t>
            </w:r>
          </w:p>
        </w:tc>
        <w:tc>
          <w:tcPr>
            <w:tcW w:type="dxa" w:w="5141"/>
            <w:vAlign w:val="top"/>
          </w:tcPr>
          <w:p>
            <w:r>
              <w:rPr>
                <w:sz w:val="17"/>
              </w:rPr>
              <w:t>15%</w:t>
            </w:r>
          </w:p>
        </w:tc>
      </w:tr>
      <w:tr>
        <w:tc>
          <w:tcPr>
            <w:tcW w:type="dxa" w:w="5141"/>
            <w:vAlign w:val="top"/>
            <w:shd w:fill="F1F5F8"/>
          </w:tcPr>
          <w:p>
            <w:r>
              <w:rPr>
                <w:sz w:val="17"/>
              </w:rPr>
              <w:t>Supplier contracting/operations</w:t>
            </w:r>
          </w:p>
        </w:tc>
        <w:tc>
          <w:tcPr>
            <w:tcW w:type="dxa" w:w="5141"/>
            <w:vAlign w:val="top"/>
            <w:shd w:fill="F1F5F8"/>
          </w:tcPr>
          <w:p>
            <w:r>
              <w:rPr>
                <w:sz w:val="17"/>
              </w:rPr>
              <w:t>15%</w:t>
            </w:r>
          </w:p>
        </w:tc>
      </w:tr>
      <w:tr>
        <w:tc>
          <w:tcPr>
            <w:tcW w:type="dxa" w:w="5141"/>
            <w:vAlign w:val="top"/>
          </w:tcPr>
          <w:p>
            <w:r>
              <w:rPr>
                <w:sz w:val="17"/>
              </w:rPr>
              <w:t>Fee</w:t>
            </w:r>
          </w:p>
        </w:tc>
        <w:tc>
          <w:tcPr>
            <w:tcW w:type="dxa" w:w="5141"/>
            <w:vAlign w:val="top"/>
          </w:tcPr>
          <w:p>
            <w:r>
              <w:rPr>
                <w:sz w:val="17"/>
              </w:rPr>
              <w:t>10%</w:t>
            </w:r>
          </w:p>
        </w:tc>
      </w:tr>
      <w:tr>
        <w:tc>
          <w:tcPr>
            <w:tcW w:type="dxa" w:w="5141"/>
            <w:vAlign w:val="top"/>
            <w:shd w:fill="F1F5F8"/>
          </w:tcPr>
          <w:p>
            <w:r>
              <w:rPr>
                <w:sz w:val="17"/>
              </w:rPr>
              <w:t>References</w:t>
            </w:r>
          </w:p>
        </w:tc>
        <w:tc>
          <w:tcPr>
            <w:tcW w:type="dxa" w:w="5141"/>
            <w:vAlign w:val="top"/>
            <w:shd w:fill="F1F5F8"/>
          </w:tcPr>
          <w:p>
            <w:r>
              <w:rPr>
                <w:sz w:val="17"/>
              </w:rPr>
              <w:t>5%</w:t>
            </w:r>
          </w:p>
        </w:tc>
      </w:tr>
    </w:tbl>
    <w:p/>
    <w:p>
      <w:pPr>
        <w:pStyle w:val="Heading1"/>
      </w:pPr>
      <w:r>
        <w:t>Bid-comparison rule</w:t>
      </w:r>
    </w:p>
    <w:p>
      <w:pPr>
        <w:pStyle w:val="ListNumber"/>
      </w:pPr>
      <w:r>
        <w:t>Reject nonresponsive bids before scoring.</w:t>
      </w:r>
    </w:p>
    <w:p>
      <w:pPr>
        <w:pStyle w:val="ListNumber"/>
      </w:pPr>
      <w:r>
        <w:t>Normalize every quote to the same dates, 18 families and 30 children.</w:t>
      </w:r>
    </w:p>
    <w:p>
      <w:pPr>
        <w:pStyle w:val="ListNumber"/>
      </w:pPr>
      <w:r>
        <w:t>Add omitted taxes, meals, insurance, cleaning, transport and required labor before comparison.</w:t>
      </w:r>
    </w:p>
    <w:p>
      <w:pPr>
        <w:pStyle w:val="ListNumber"/>
      </w:pPr>
      <w:r>
        <w:t>Run the integrated model at 15, 18 and 20 families.</w:t>
      </w:r>
    </w:p>
    <w:p>
      <w:pPr>
        <w:pStyle w:val="ListNumber"/>
      </w:pPr>
      <w:r>
        <w:t>Apply contribution-margin, break-even, working-capital and cancellation gates.</w:t>
      </w:r>
    </w:p>
    <w:p>
      <w:pPr>
        <w:pStyle w:val="ListNumber"/>
      </w:pPr>
      <w:r>
        <w:t>Select neither city if no complete stack passes.</w:t>
      </w:r>
    </w:p>
    <w:p>
      <w:pPr>
        <w:pStyle w:val="Heading1"/>
      </w:pPr>
      <w:r>
        <w:t>Public supplier discovery appendix</w:t>
      </w:r>
    </w:p>
    <w:tbl>
      <w:tblPr>
        <w:tblStyle w:val="TableGrid"/>
        <w:tblW w:type="auto" w:w="0"/>
        <w:jc w:val="center"/>
        <w:tblLook w:firstColumn="1" w:firstRow="1" w:lastColumn="0" w:lastRow="0" w:noHBand="0" w:noVBand="1" w:val="04A0"/>
      </w:tblPr>
      <w:tblGrid>
        <w:gridCol w:w="2570"/>
        <w:gridCol w:w="2570"/>
        <w:gridCol w:w="2570"/>
        <w:gridCol w:w="2570"/>
      </w:tblGrid>
      <w:tr>
        <w:tc>
          <w:tcPr>
            <w:tcW w:type="dxa" w:w="2570"/>
            <w:shd w:fill="1C767D"/>
          </w:tcPr>
          <w:p>
            <w:r>
              <w:rPr>
                <w:b/>
                <w:color w:val="FFFFFF"/>
                <w:sz w:val="15"/>
              </w:rPr>
              <w:t>Type</w:t>
            </w:r>
          </w:p>
        </w:tc>
        <w:tc>
          <w:tcPr>
            <w:tcW w:type="dxa" w:w="2570"/>
            <w:shd w:fill="1C767D"/>
          </w:tcPr>
          <w:p>
            <w:r>
              <w:rPr>
                <w:b/>
                <w:color w:val="FFFFFF"/>
                <w:sz w:val="15"/>
              </w:rPr>
              <w:t>Supplier/lead</w:t>
            </w:r>
          </w:p>
        </w:tc>
        <w:tc>
          <w:tcPr>
            <w:tcW w:type="dxa" w:w="2570"/>
            <w:shd w:fill="1C767D"/>
          </w:tcPr>
          <w:p>
            <w:r>
              <w:rPr>
                <w:b/>
                <w:color w:val="FFFFFF"/>
                <w:sz w:val="15"/>
              </w:rPr>
              <w:t>Observed fact</w:t>
            </w:r>
          </w:p>
        </w:tc>
        <w:tc>
          <w:tcPr>
            <w:tcW w:type="dxa" w:w="2570"/>
            <w:shd w:fill="1C767D"/>
          </w:tcPr>
          <w:p>
            <w:r>
              <w:rPr>
                <w:b/>
                <w:color w:val="FFFFFF"/>
                <w:sz w:val="15"/>
              </w:rPr>
              <w:t>Source</w:t>
            </w:r>
          </w:p>
        </w:tc>
      </w:tr>
      <w:tr>
        <w:tc>
          <w:tcPr>
            <w:tcW w:type="dxa" w:w="2570"/>
            <w:vAlign w:val="top"/>
          </w:tcPr>
          <w:p>
            <w:r>
              <w:rPr>
                <w:sz w:val="15"/>
              </w:rPr>
              <w:t>Camp</w:t>
            </w:r>
          </w:p>
        </w:tc>
        <w:tc>
          <w:tcPr>
            <w:tcW w:type="dxa" w:w="2570"/>
            <w:vAlign w:val="top"/>
          </w:tcPr>
          <w:p>
            <w:r>
              <w:rPr>
                <w:sz w:val="15"/>
              </w:rPr>
              <w:t>Camp Go</w:t>
            </w:r>
          </w:p>
        </w:tc>
        <w:tc>
          <w:tcPr>
            <w:tcW w:type="dxa" w:w="2570"/>
            <w:vAlign w:val="top"/>
          </w:tcPr>
          <w:p>
            <w:r>
              <w:rPr>
                <w:sz w:val="15"/>
              </w:rPr>
              <w:t>Public 2026 camp; IPDJ registry 515/DRLVT</w:t>
            </w:r>
          </w:p>
        </w:tc>
        <w:tc>
          <w:tcPr>
            <w:tcW w:type="dxa" w:w="2570"/>
            <w:vAlign w:val="top"/>
          </w:tcPr>
          <w:p>
            <w:r>
              <w:rPr>
                <w:sz w:val="15"/>
              </w:rPr>
              <w:t>S13,S71</w:t>
            </w:r>
          </w:p>
        </w:tc>
      </w:tr>
      <w:tr>
        <w:tc>
          <w:tcPr>
            <w:tcW w:type="dxa" w:w="2570"/>
            <w:vAlign w:val="top"/>
            <w:shd w:fill="F1F5F8"/>
          </w:tcPr>
          <w:p>
            <w:r>
              <w:rPr>
                <w:sz w:val="15"/>
              </w:rPr>
              <w:t>Camp</w:t>
            </w:r>
          </w:p>
        </w:tc>
        <w:tc>
          <w:tcPr>
            <w:tcW w:type="dxa" w:w="2570"/>
            <w:vAlign w:val="top"/>
            <w:shd w:fill="F1F5F8"/>
          </w:tcPr>
          <w:p>
            <w:r>
              <w:rPr>
                <w:sz w:val="15"/>
              </w:rPr>
              <w:t>Carcavelos Tennis</w:t>
            </w:r>
          </w:p>
        </w:tc>
        <w:tc>
          <w:tcPr>
            <w:tcW w:type="dxa" w:w="2570"/>
            <w:vAlign w:val="top"/>
            <w:shd w:fill="F1F5F8"/>
          </w:tcPr>
          <w:p>
            <w:r>
              <w:rPr>
                <w:sz w:val="15"/>
              </w:rPr>
              <w:t>Public normal-hours pricing; IPDJ 413/DRLVT</w:t>
            </w:r>
          </w:p>
        </w:tc>
        <w:tc>
          <w:tcPr>
            <w:tcW w:type="dxa" w:w="2570"/>
            <w:vAlign w:val="top"/>
            <w:shd w:fill="F1F5F8"/>
          </w:tcPr>
          <w:p>
            <w:r>
              <w:rPr>
                <w:sz w:val="15"/>
              </w:rPr>
              <w:t>S14,S71</w:t>
            </w:r>
          </w:p>
        </w:tc>
      </w:tr>
      <w:tr>
        <w:tc>
          <w:tcPr>
            <w:tcW w:type="dxa" w:w="2570"/>
            <w:vAlign w:val="top"/>
          </w:tcPr>
          <w:p>
            <w:r>
              <w:rPr>
                <w:sz w:val="15"/>
              </w:rPr>
              <w:t>Camp</w:t>
            </w:r>
          </w:p>
        </w:tc>
        <w:tc>
          <w:tcPr>
            <w:tcW w:type="dxa" w:w="2570"/>
            <w:vAlign w:val="top"/>
          </w:tcPr>
          <w:p>
            <w:r>
              <w:rPr>
                <w:sz w:val="15"/>
              </w:rPr>
              <w:t>Prime School</w:t>
            </w:r>
          </w:p>
        </w:tc>
        <w:tc>
          <w:tcPr>
            <w:tcW w:type="dxa" w:w="2570"/>
            <w:vAlign w:val="top"/>
          </w:tcPr>
          <w:p>
            <w:r>
              <w:rPr>
                <w:sz w:val="15"/>
              </w:rPr>
              <w:t>Public 2026 program; operator entity IPDJ 410/DRLVT</w:t>
            </w:r>
          </w:p>
        </w:tc>
        <w:tc>
          <w:tcPr>
            <w:tcW w:type="dxa" w:w="2570"/>
            <w:vAlign w:val="top"/>
          </w:tcPr>
          <w:p>
            <w:r>
              <w:rPr>
                <w:sz w:val="15"/>
              </w:rPr>
              <w:t>S15,S71</w:t>
            </w:r>
          </w:p>
        </w:tc>
      </w:tr>
      <w:tr>
        <w:tc>
          <w:tcPr>
            <w:tcW w:type="dxa" w:w="2570"/>
            <w:vAlign w:val="top"/>
            <w:shd w:fill="F1F5F8"/>
          </w:tcPr>
          <w:p>
            <w:r>
              <w:rPr>
                <w:sz w:val="15"/>
              </w:rPr>
              <w:t>Camp</w:t>
            </w:r>
          </w:p>
        </w:tc>
        <w:tc>
          <w:tcPr>
            <w:tcW w:type="dxa" w:w="2570"/>
            <w:vAlign w:val="top"/>
            <w:shd w:fill="F1F5F8"/>
          </w:tcPr>
          <w:p>
            <w:r>
              <w:rPr>
                <w:sz w:val="15"/>
              </w:rPr>
              <w:t>U.Porto CDUP</w:t>
            </w:r>
          </w:p>
        </w:tc>
        <w:tc>
          <w:tcPr>
            <w:tcW w:type="dxa" w:w="2570"/>
            <w:vAlign w:val="top"/>
            <w:shd w:fill="F1F5F8"/>
          </w:tcPr>
          <w:p>
            <w:r>
              <w:rPr>
                <w:sz w:val="15"/>
              </w:rPr>
              <w:t>€155/week incl. food/insurance; IPDJ 253/DRNorte</w:t>
            </w:r>
          </w:p>
        </w:tc>
        <w:tc>
          <w:tcPr>
            <w:tcW w:type="dxa" w:w="2570"/>
            <w:vAlign w:val="top"/>
            <w:shd w:fill="F1F5F8"/>
          </w:tcPr>
          <w:p>
            <w:r>
              <w:rPr>
                <w:sz w:val="15"/>
              </w:rPr>
              <w:t>S70,S83</w:t>
            </w:r>
          </w:p>
        </w:tc>
      </w:tr>
      <w:tr>
        <w:tc>
          <w:tcPr>
            <w:tcW w:type="dxa" w:w="2570"/>
            <w:vAlign w:val="top"/>
          </w:tcPr>
          <w:p>
            <w:r>
              <w:rPr>
                <w:sz w:val="15"/>
              </w:rPr>
              <w:t>Camp</w:t>
            </w:r>
          </w:p>
        </w:tc>
        <w:tc>
          <w:tcPr>
            <w:tcW w:type="dxa" w:w="2570"/>
            <w:vAlign w:val="top"/>
          </w:tcPr>
          <w:p>
            <w:r>
              <w:rPr>
                <w:sz w:val="15"/>
              </w:rPr>
              <w:t>Surfing Life</w:t>
            </w:r>
          </w:p>
        </w:tc>
        <w:tc>
          <w:tcPr>
            <w:tcW w:type="dxa" w:w="2570"/>
            <w:vAlign w:val="top"/>
          </w:tcPr>
          <w:p>
            <w:r>
              <w:rPr>
                <w:sz w:val="15"/>
              </w:rPr>
              <w:t>€250/week with lunch; IPDJ 25/DRNorte</w:t>
            </w:r>
          </w:p>
        </w:tc>
        <w:tc>
          <w:tcPr>
            <w:tcW w:type="dxa" w:w="2570"/>
            <w:vAlign w:val="top"/>
          </w:tcPr>
          <w:p>
            <w:r>
              <w:rPr>
                <w:sz w:val="15"/>
              </w:rPr>
              <w:t>S70,S82</w:t>
            </w:r>
          </w:p>
        </w:tc>
      </w:tr>
      <w:tr>
        <w:tc>
          <w:tcPr>
            <w:tcW w:type="dxa" w:w="2570"/>
            <w:vAlign w:val="top"/>
            <w:shd w:fill="F1F5F8"/>
          </w:tcPr>
          <w:p>
            <w:r>
              <w:rPr>
                <w:sz w:val="15"/>
              </w:rPr>
              <w:t>Housing</w:t>
            </w:r>
          </w:p>
        </w:tc>
        <w:tc>
          <w:tcPr>
            <w:tcW w:type="dxa" w:w="2570"/>
            <w:vAlign w:val="top"/>
            <w:shd w:fill="F1F5F8"/>
          </w:tcPr>
          <w:p>
            <w:r>
              <w:rPr>
                <w:sz w:val="15"/>
              </w:rPr>
              <w:t>Vila Bicuda</w:t>
            </w:r>
          </w:p>
        </w:tc>
        <w:tc>
          <w:tcPr>
            <w:tcW w:type="dxa" w:w="2570"/>
            <w:vAlign w:val="top"/>
            <w:shd w:fill="F1F5F8"/>
          </w:tcPr>
          <w:p>
            <w:r>
              <w:rPr>
                <w:sz w:val="15"/>
              </w:rPr>
              <w:t>79-villa scale; high public seasonal retail</w:t>
            </w:r>
          </w:p>
        </w:tc>
        <w:tc>
          <w:tcPr>
            <w:tcW w:type="dxa" w:w="2570"/>
            <w:vAlign w:val="top"/>
            <w:shd w:fill="F1F5F8"/>
          </w:tcPr>
          <w:p>
            <w:r>
              <w:rPr>
                <w:sz w:val="15"/>
              </w:rPr>
              <w:t>S20–S21</w:t>
            </w:r>
          </w:p>
        </w:tc>
      </w:tr>
      <w:tr>
        <w:tc>
          <w:tcPr>
            <w:tcW w:type="dxa" w:w="2570"/>
            <w:vAlign w:val="top"/>
          </w:tcPr>
          <w:p>
            <w:r>
              <w:rPr>
                <w:sz w:val="15"/>
              </w:rPr>
              <w:t>Housing</w:t>
            </w:r>
          </w:p>
        </w:tc>
        <w:tc>
          <w:tcPr>
            <w:tcW w:type="dxa" w:w="2570"/>
            <w:vAlign w:val="top"/>
          </w:tcPr>
          <w:p>
            <w:r>
              <w:rPr>
                <w:sz w:val="15"/>
              </w:rPr>
              <w:t>NAMA Carcavelos</w:t>
            </w:r>
          </w:p>
        </w:tc>
        <w:tc>
          <w:tcPr>
            <w:tcW w:type="dxa" w:w="2570"/>
            <w:vAlign w:val="top"/>
          </w:tcPr>
          <w:p>
            <w:r>
              <w:rPr>
                <w:sz w:val="15"/>
              </w:rPr>
              <w:t>45 planned residences</w:t>
            </w:r>
          </w:p>
        </w:tc>
        <w:tc>
          <w:tcPr>
            <w:tcW w:type="dxa" w:w="2570"/>
            <w:vAlign w:val="top"/>
          </w:tcPr>
          <w:p>
            <w:r>
              <w:rPr>
                <w:sz w:val="15"/>
              </w:rPr>
              <w:t>S22</w:t>
            </w:r>
          </w:p>
        </w:tc>
      </w:tr>
      <w:tr>
        <w:tc>
          <w:tcPr>
            <w:tcW w:type="dxa" w:w="2570"/>
            <w:vAlign w:val="top"/>
            <w:shd w:fill="F1F5F8"/>
          </w:tcPr>
          <w:p>
            <w:r>
              <w:rPr>
                <w:sz w:val="15"/>
              </w:rPr>
              <w:t>Housing</w:t>
            </w:r>
          </w:p>
        </w:tc>
        <w:tc>
          <w:tcPr>
            <w:tcW w:type="dxa" w:w="2570"/>
            <w:vAlign w:val="top"/>
            <w:shd w:fill="F1F5F8"/>
          </w:tcPr>
          <w:p>
            <w:r>
              <w:rPr>
                <w:sz w:val="15"/>
              </w:rPr>
              <w:t>Vibrant Host</w:t>
            </w:r>
          </w:p>
        </w:tc>
        <w:tc>
          <w:tcPr>
            <w:tcW w:type="dxa" w:w="2570"/>
            <w:vAlign w:val="top"/>
            <w:shd w:fill="F1F5F8"/>
          </w:tcPr>
          <w:p>
            <w:r>
              <w:rPr>
                <w:sz w:val="15"/>
              </w:rPr>
              <w:t>Eight group apartments marketed</w:t>
            </w:r>
          </w:p>
        </w:tc>
        <w:tc>
          <w:tcPr>
            <w:tcW w:type="dxa" w:w="2570"/>
            <w:vAlign w:val="top"/>
            <w:shd w:fill="F1F5F8"/>
          </w:tcPr>
          <w:p>
            <w:r>
              <w:rPr>
                <w:sz w:val="15"/>
              </w:rPr>
              <w:t>S72</w:t>
            </w:r>
          </w:p>
        </w:tc>
      </w:tr>
      <w:tr>
        <w:tc>
          <w:tcPr>
            <w:tcW w:type="dxa" w:w="2570"/>
            <w:vAlign w:val="top"/>
          </w:tcPr>
          <w:p>
            <w:r>
              <w:rPr>
                <w:sz w:val="15"/>
              </w:rPr>
              <w:t>Housing</w:t>
            </w:r>
          </w:p>
        </w:tc>
        <w:tc>
          <w:tcPr>
            <w:tcW w:type="dxa" w:w="2570"/>
            <w:vAlign w:val="top"/>
          </w:tcPr>
          <w:p>
            <w:r>
              <w:rPr>
                <w:sz w:val="15"/>
              </w:rPr>
              <w:t>Oporto Maison</w:t>
            </w:r>
          </w:p>
        </w:tc>
        <w:tc>
          <w:tcPr>
            <w:tcW w:type="dxa" w:w="2570"/>
            <w:vAlign w:val="top"/>
          </w:tcPr>
          <w:p>
            <w:r>
              <w:rPr>
                <w:sz w:val="15"/>
              </w:rPr>
              <w:t>Multiple serviced-apartment buildings</w:t>
            </w:r>
          </w:p>
        </w:tc>
        <w:tc>
          <w:tcPr>
            <w:tcW w:type="dxa" w:w="2570"/>
            <w:vAlign w:val="top"/>
          </w:tcPr>
          <w:p>
            <w:r>
              <w:rPr>
                <w:sz w:val="15"/>
              </w:rPr>
              <w:t>S33–S34,S86</w:t>
            </w:r>
          </w:p>
        </w:tc>
      </w:tr>
      <w:tr>
        <w:tc>
          <w:tcPr>
            <w:tcW w:type="dxa" w:w="2570"/>
            <w:vAlign w:val="top"/>
            <w:shd w:fill="F1F5F8"/>
          </w:tcPr>
          <w:p>
            <w:r>
              <w:rPr>
                <w:sz w:val="15"/>
              </w:rPr>
              <w:t>Organizer</w:t>
            </w:r>
          </w:p>
        </w:tc>
        <w:tc>
          <w:tcPr>
            <w:tcW w:type="dxa" w:w="2570"/>
            <w:vAlign w:val="top"/>
            <w:shd w:fill="F1F5F8"/>
          </w:tcPr>
          <w:p>
            <w:r>
              <w:rPr>
                <w:sz w:val="15"/>
              </w:rPr>
              <w:t>Official RNT/RNAVT</w:t>
            </w:r>
          </w:p>
        </w:tc>
        <w:tc>
          <w:tcPr>
            <w:tcW w:type="dxa" w:w="2570"/>
            <w:vAlign w:val="top"/>
            <w:shd w:fill="F1F5F8"/>
          </w:tcPr>
          <w:p>
            <w:r>
              <w:rPr>
                <w:sz w:val="15"/>
              </w:rPr>
              <w:t>Public registry and statutory framework</w:t>
            </w:r>
          </w:p>
        </w:tc>
        <w:tc>
          <w:tcPr>
            <w:tcW w:type="dxa" w:w="2570"/>
            <w:vAlign w:val="top"/>
            <w:shd w:fill="F1F5F8"/>
          </w:tcPr>
          <w:p>
            <w:r>
              <w:rPr>
                <w:sz w:val="15"/>
              </w:rPr>
              <w:t>S75–S77</w:t>
            </w:r>
          </w:p>
        </w:tc>
      </w:tr>
    </w:tbl>
    <w:p/>
    <w:sectPr w:rsidR="00FC693F" w:rsidRPr="0006063C" w:rsidSect="00034616">
      <w:headerReference w:type="default" r:id="rId9"/>
      <w:footerReference w:type="default" r:id="rId10"/>
      <w:pgSz w:w="12240" w:h="15840"/>
      <w:pgMar w:top="893" w:right="979" w:bottom="893" w:left="9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t xml:space="preserve">Research snapshot: 14 August 2026 | Public discovery only | </w:t>
    </w: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SmallNote"/>
    </w:pPr>
    <w:r>
      <w:t>European Family Summer Camp — Public Supplier Discovery &amp; RFP Pack</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100"/>
      <w:outlineLvl w:val="0"/>
    </w:pPr>
    <w:rPr>
      <w:rFonts w:asciiTheme="majorHAnsi" w:eastAsiaTheme="majorEastAsia" w:hAnsiTheme="majorHAnsi" w:cstheme="majorBidi" w:ascii="Aptos" w:hAnsi="Aptos"/>
      <w:b/>
      <w:bCs/>
      <w:color w:val="1B3959"/>
      <w:sz w:val="34"/>
      <w:szCs w:val="28"/>
    </w:rPr>
  </w:style>
  <w:style w:type="paragraph" w:styleId="Heading2">
    <w:name w:val="heading 2"/>
    <w:basedOn w:val="Normal"/>
    <w:next w:val="Normal"/>
    <w:link w:val="Heading2Char"/>
    <w:uiPriority w:val="9"/>
    <w:unhideWhenUsed/>
    <w:qFormat/>
    <w:rsid w:val="00FC693F"/>
    <w:pPr>
      <w:keepNext/>
      <w:keepLines/>
      <w:spacing w:before="180" w:after="100"/>
      <w:outlineLvl w:val="1"/>
    </w:pPr>
    <w:rPr>
      <w:rFonts w:asciiTheme="majorHAnsi" w:eastAsiaTheme="majorEastAsia" w:hAnsiTheme="majorHAnsi" w:cstheme="majorBidi" w:ascii="Aptos" w:hAnsi="Aptos"/>
      <w:b/>
      <w:bCs/>
      <w:color w:val="1C767D"/>
      <w:sz w:val="26"/>
      <w:szCs w:val="26"/>
    </w:rPr>
  </w:style>
  <w:style w:type="paragraph" w:styleId="Heading3">
    <w:name w:val="heading 3"/>
    <w:basedOn w:val="Normal"/>
    <w:next w:val="Normal"/>
    <w:link w:val="Heading3Char"/>
    <w:uiPriority w:val="9"/>
    <w:unhideWhenUsed/>
    <w:qFormat/>
    <w:rsid w:val="00FC693F"/>
    <w:pPr>
      <w:keepNext/>
      <w:keepLines/>
      <w:spacing w:before="180" w:after="100"/>
      <w:outlineLvl w:val="2"/>
    </w:pPr>
    <w:rPr>
      <w:rFonts w:asciiTheme="majorHAnsi" w:eastAsiaTheme="majorEastAsia" w:hAnsiTheme="majorHAnsi" w:cstheme="majorBidi" w:ascii="Aptos" w:hAnsi="Aptos"/>
      <w:b/>
      <w:bCs/>
      <w:color w:val="1B3959"/>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180"/>
      <w:contextualSpacing/>
    </w:pPr>
    <w:rPr>
      <w:rFonts w:asciiTheme="majorHAnsi" w:eastAsiaTheme="majorEastAsia" w:hAnsiTheme="majorHAnsi" w:cstheme="majorBidi" w:ascii="Aptos Display" w:hAnsi="Aptos Display"/>
      <w:color w:val="1B3959"/>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rPr>
      <w:rFonts w:ascii="Aptos" w:hAnsi="Aptos"/>
      <w:color w:val="505050"/>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