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European Family Summer Camp — Paid Reservation Validation Protocol</w:t>
      </w:r>
    </w:p>
    <w:p>
      <w:pPr>
        <w:jc w:val="center"/>
      </w:pPr>
      <w:r>
        <w:rPr>
          <w:color w:val="1C767D"/>
          <w:sz w:val="28"/>
        </w:rPr>
        <w:t>A demand test in which free waitlists and social engagement count as zero</w:t>
      </w:r>
    </w:p>
    <w:p/>
    <w:p>
      <w:pPr>
        <w:pStyle w:val="SmallNote"/>
        <w:jc w:val="center"/>
      </w:pPr>
      <w:r>
        <w:t>Prepared from independently checkable public sources. No supplier inquiry, reservation, contract, booking, payment, or private-account access occurred.</w:t>
      </w:r>
    </w:p>
    <w:p>
      <w:r>
        <w:br w:type="page"/>
      </w:r>
    </w:p>
    <w:p>
      <w:pPr>
        <w:pStyle w:val="Heading1"/>
      </w:pPr>
      <w:r>
        <w:t>Objective</w:t>
      </w:r>
    </w:p>
    <w:p>
      <w:r>
        <w:t>Test whether qualified families will place real, refundable money behind the exact July 2027 product and price. The protocol is designed to distinguish purchase intent from curiosity while limiting consumer risk.</w:t>
      </w:r>
    </w:p>
    <w:tbl>
      <w:tblPr>
        <w:tblStyle w:val="TableGrid"/>
        <w:tblW w:type="auto" w:w="0"/>
        <w:tblLook w:firstColumn="1" w:firstRow="1" w:lastColumn="0" w:lastRow="0" w:noHBand="0" w:noVBand="1" w:val="04A0"/>
      </w:tblPr>
      <w:tblGrid>
        <w:gridCol w:w="10282"/>
      </w:tblGrid>
      <w:tr>
        <w:tc>
          <w:tcPr>
            <w:tcW w:type="dxa" w:w="10282"/>
            <w:shd w:fill="FFF2CC"/>
          </w:tcPr>
          <w:p>
            <w:r>
              <w:rPr>
                <w:b/>
                <w:color w:val="1B3959"/>
              </w:rPr>
              <w:t>Legal prerequisite</w:t>
            </w:r>
            <w:r>
              <w:br/>
              <w:t>Do not open paid reservations until Portuguese and U.S. counsel clear the organizer, merchant-of-record, refund and seller-of-travel structure.</w:t>
            </w:r>
          </w:p>
        </w:tc>
      </w:tr>
    </w:tbl>
    <w:p/>
    <w:p>
      <w:pPr>
        <w:pStyle w:val="Heading1"/>
      </w:pPr>
      <w:r>
        <w:t>Offer tested</w:t>
      </w:r>
    </w:p>
    <w:tbl>
      <w:tblPr>
        <w:tblStyle w:val="TableGrid"/>
        <w:tblW w:type="auto" w:w="0"/>
        <w:jc w:val="center"/>
        <w:tblLook w:firstColumn="1" w:firstRow="1" w:lastColumn="0" w:lastRow="0" w:noHBand="0" w:noVBand="1" w:val="04A0"/>
      </w:tblPr>
      <w:tblGrid>
        <w:gridCol w:w="2056"/>
        <w:gridCol w:w="2056"/>
        <w:gridCol w:w="2056"/>
        <w:gridCol w:w="2056"/>
        <w:gridCol w:w="2056"/>
      </w:tblGrid>
      <w:tr>
        <w:tc>
          <w:tcPr>
            <w:tcW w:type="dxa" w:w="2056"/>
            <w:shd w:fill="1C767D"/>
          </w:tcPr>
          <w:p>
            <w:r>
              <w:rPr>
                <w:b/>
                <w:color w:val="FFFFFF"/>
                <w:sz w:val="16"/>
              </w:rPr>
              <w:t>Variant</w:t>
            </w:r>
          </w:p>
        </w:tc>
        <w:tc>
          <w:tcPr>
            <w:tcW w:type="dxa" w:w="2056"/>
            <w:shd w:fill="1C767D"/>
          </w:tcPr>
          <w:p>
            <w:r>
              <w:rPr>
                <w:b/>
                <w:color w:val="FFFFFF"/>
                <w:sz w:val="16"/>
              </w:rPr>
              <w:t>Family of 3</w:t>
            </w:r>
          </w:p>
        </w:tc>
        <w:tc>
          <w:tcPr>
            <w:tcW w:type="dxa" w:w="2056"/>
            <w:shd w:fill="1C767D"/>
          </w:tcPr>
          <w:p>
            <w:r>
              <w:rPr>
                <w:b/>
                <w:color w:val="FFFFFF"/>
                <w:sz w:val="16"/>
              </w:rPr>
              <w:t>Family of 4</w:t>
            </w:r>
          </w:p>
        </w:tc>
        <w:tc>
          <w:tcPr>
            <w:tcW w:type="dxa" w:w="2056"/>
            <w:shd w:fill="1C767D"/>
          </w:tcPr>
          <w:p>
            <w:r>
              <w:rPr>
                <w:b/>
                <w:color w:val="FFFFFF"/>
                <w:sz w:val="16"/>
              </w:rPr>
              <w:t>Dates</w:t>
            </w:r>
          </w:p>
        </w:tc>
        <w:tc>
          <w:tcPr>
            <w:tcW w:type="dxa" w:w="2056"/>
            <w:shd w:fill="1C767D"/>
          </w:tcPr>
          <w:p>
            <w:r>
              <w:rPr>
                <w:b/>
                <w:color w:val="FFFFFF"/>
                <w:sz w:val="16"/>
              </w:rPr>
              <w:t>Core child hours</w:t>
            </w:r>
          </w:p>
        </w:tc>
      </w:tr>
      <w:tr>
        <w:tc>
          <w:tcPr>
            <w:tcW w:type="dxa" w:w="2056"/>
            <w:vAlign w:val="top"/>
          </w:tcPr>
          <w:p>
            <w:r>
              <w:rPr>
                <w:sz w:val="16"/>
              </w:rPr>
              <w:t>Cascais–Oeiras coast</w:t>
            </w:r>
          </w:p>
        </w:tc>
        <w:tc>
          <w:tcPr>
            <w:tcW w:type="dxa" w:w="2056"/>
            <w:vAlign w:val="top"/>
          </w:tcPr>
          <w:p>
            <w:r>
              <w:rPr>
                <w:sz w:val="16"/>
              </w:rPr>
              <w:t>€13,100</w:t>
            </w:r>
          </w:p>
        </w:tc>
        <w:tc>
          <w:tcPr>
            <w:tcW w:type="dxa" w:w="2056"/>
            <w:vAlign w:val="top"/>
          </w:tcPr>
          <w:p>
            <w:r>
              <w:rPr>
                <w:sz w:val="16"/>
              </w:rPr>
              <w:t>€15,400</w:t>
            </w:r>
          </w:p>
        </w:tc>
        <w:tc>
          <w:tcPr>
            <w:tcW w:type="dxa" w:w="2056"/>
            <w:vAlign w:val="top"/>
          </w:tcPr>
          <w:p>
            <w:r>
              <w:rPr>
                <w:sz w:val="16"/>
              </w:rPr>
              <w:t>4 Jul–1 Aug 2027</w:t>
            </w:r>
          </w:p>
        </w:tc>
        <w:tc>
          <w:tcPr>
            <w:tcW w:type="dxa" w:w="2056"/>
            <w:vAlign w:val="top"/>
          </w:tcPr>
          <w:p>
            <w:r>
              <w:rPr>
                <w:sz w:val="16"/>
              </w:rPr>
              <w:t>Mon–Thu 13:30–21:30; Fri 13:30–18:30</w:t>
            </w:r>
          </w:p>
        </w:tc>
      </w:tr>
      <w:tr>
        <w:tc>
          <w:tcPr>
            <w:tcW w:type="dxa" w:w="2056"/>
            <w:vAlign w:val="top"/>
            <w:shd w:fill="F1F5F8"/>
          </w:tcPr>
          <w:p>
            <w:r>
              <w:rPr>
                <w:sz w:val="16"/>
              </w:rPr>
              <w:t>Porto–Foz–Matosinhos</w:t>
            </w:r>
          </w:p>
        </w:tc>
        <w:tc>
          <w:tcPr>
            <w:tcW w:type="dxa" w:w="2056"/>
            <w:vAlign w:val="top"/>
            <w:shd w:fill="F1F5F8"/>
          </w:tcPr>
          <w:p>
            <w:r>
              <w:rPr>
                <w:sz w:val="16"/>
              </w:rPr>
              <w:t>€11,800</w:t>
            </w:r>
          </w:p>
        </w:tc>
        <w:tc>
          <w:tcPr>
            <w:tcW w:type="dxa" w:w="2056"/>
            <w:vAlign w:val="top"/>
            <w:shd w:fill="F1F5F8"/>
          </w:tcPr>
          <w:p>
            <w:r>
              <w:rPr>
                <w:sz w:val="16"/>
              </w:rPr>
              <w:t>€13,900</w:t>
            </w:r>
          </w:p>
        </w:tc>
        <w:tc>
          <w:tcPr>
            <w:tcW w:type="dxa" w:w="2056"/>
            <w:vAlign w:val="top"/>
            <w:shd w:fill="F1F5F8"/>
          </w:tcPr>
          <w:p>
            <w:r>
              <w:rPr>
                <w:sz w:val="16"/>
              </w:rPr>
              <w:t>4 Jul–1 Aug 2027</w:t>
            </w:r>
          </w:p>
        </w:tc>
        <w:tc>
          <w:tcPr>
            <w:tcW w:type="dxa" w:w="2056"/>
            <w:vAlign w:val="top"/>
            <w:shd w:fill="F1F5F8"/>
          </w:tcPr>
          <w:p>
            <w:r>
              <w:rPr>
                <w:sz w:val="16"/>
              </w:rPr>
              <w:t>Same</w:t>
            </w:r>
          </w:p>
        </w:tc>
      </w:tr>
    </w:tbl>
    <w:p/>
    <w:p>
      <w:r>
        <w:t>Display all material inclusions and exclusions. State that airfare and most adult meals are excluded. Do not use “starting at” pricing for the validation page.</w:t>
      </w:r>
    </w:p>
    <w:p>
      <w:pPr>
        <w:pStyle w:val="Heading1"/>
      </w:pPr>
      <w:r>
        <w:t>Reservation instrument</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6"/>
              </w:rPr>
              <w:t>Term</w:t>
            </w:r>
          </w:p>
        </w:tc>
        <w:tc>
          <w:tcPr>
            <w:tcW w:type="dxa" w:w="5141"/>
            <w:shd w:fill="1C767D"/>
          </w:tcPr>
          <w:p>
            <w:r>
              <w:rPr>
                <w:b/>
                <w:color w:val="FFFFFF"/>
                <w:sz w:val="16"/>
              </w:rPr>
              <w:t>Rule</w:t>
            </w:r>
          </w:p>
        </w:tc>
      </w:tr>
      <w:tr>
        <w:tc>
          <w:tcPr>
            <w:tcW w:type="dxa" w:w="5141"/>
            <w:vAlign w:val="top"/>
          </w:tcPr>
          <w:p>
            <w:r>
              <w:rPr>
                <w:sz w:val="16"/>
              </w:rPr>
              <w:t>Amount</w:t>
            </w:r>
          </w:p>
        </w:tc>
        <w:tc>
          <w:tcPr>
            <w:tcW w:type="dxa" w:w="5141"/>
            <w:vAlign w:val="top"/>
          </w:tcPr>
          <w:p>
            <w:r>
              <w:rPr>
                <w:sz w:val="16"/>
              </w:rPr>
              <w:t>€250 per family.</w:t>
            </w:r>
          </w:p>
        </w:tc>
      </w:tr>
      <w:tr>
        <w:tc>
          <w:tcPr>
            <w:tcW w:type="dxa" w:w="5141"/>
            <w:vAlign w:val="top"/>
            <w:shd w:fill="F1F5F8"/>
          </w:tcPr>
          <w:p>
            <w:r>
              <w:rPr>
                <w:sz w:val="16"/>
              </w:rPr>
              <w:t>Refundability</w:t>
            </w:r>
          </w:p>
        </w:tc>
        <w:tc>
          <w:tcPr>
            <w:tcW w:type="dxa" w:w="5141"/>
            <w:vAlign w:val="top"/>
            <w:shd w:fill="F1F5F8"/>
          </w:tcPr>
          <w:p>
            <w:r>
              <w:rPr>
                <w:sz w:val="16"/>
              </w:rPr>
              <w:t>Fully refundable on request before conversion; no administrative deduction.</w:t>
            </w:r>
          </w:p>
        </w:tc>
      </w:tr>
      <w:tr>
        <w:tc>
          <w:tcPr>
            <w:tcW w:type="dxa" w:w="5141"/>
            <w:vAlign w:val="top"/>
          </w:tcPr>
          <w:p>
            <w:r>
              <w:rPr>
                <w:sz w:val="16"/>
              </w:rPr>
              <w:t>Credit</w:t>
            </w:r>
          </w:p>
        </w:tc>
        <w:tc>
          <w:tcPr>
            <w:tcW w:type="dxa" w:w="5141"/>
            <w:vAlign w:val="top"/>
          </w:tcPr>
          <w:p>
            <w:r>
              <w:rPr>
                <w:sz w:val="16"/>
              </w:rPr>
              <w:t>100% credited toward the program if customer signs.</w:t>
            </w:r>
          </w:p>
        </w:tc>
      </w:tr>
      <w:tr>
        <w:tc>
          <w:tcPr>
            <w:tcW w:type="dxa" w:w="5141"/>
            <w:vAlign w:val="top"/>
            <w:shd w:fill="F1F5F8"/>
          </w:tcPr>
          <w:p>
            <w:r>
              <w:rPr>
                <w:sz w:val="16"/>
              </w:rPr>
              <w:t>Collector</w:t>
            </w:r>
          </w:p>
        </w:tc>
        <w:tc>
          <w:tcPr>
            <w:tcW w:type="dxa" w:w="5141"/>
            <w:vAlign w:val="top"/>
            <w:shd w:fill="F1F5F8"/>
          </w:tcPr>
          <w:p>
            <w:r>
              <w:rPr>
                <w:sz w:val="16"/>
              </w:rPr>
              <w:t>Compliant RNAVT organizer/MoR or other structure explicitly cleared by counsel.</w:t>
            </w:r>
          </w:p>
        </w:tc>
      </w:tr>
      <w:tr>
        <w:tc>
          <w:tcPr>
            <w:tcW w:type="dxa" w:w="5141"/>
            <w:vAlign w:val="top"/>
          </w:tcPr>
          <w:p>
            <w:r>
              <w:rPr>
                <w:sz w:val="16"/>
              </w:rPr>
              <w:t>Refund SLA</w:t>
            </w:r>
          </w:p>
        </w:tc>
        <w:tc>
          <w:tcPr>
            <w:tcW w:type="dxa" w:w="5141"/>
            <w:vAlign w:val="top"/>
          </w:tcPr>
          <w:p>
            <w:r>
              <w:rPr>
                <w:sz w:val="16"/>
              </w:rPr>
              <w:t>Target five business days; disclose actual processor/bank timing.</w:t>
            </w:r>
          </w:p>
        </w:tc>
      </w:tr>
      <w:tr>
        <w:tc>
          <w:tcPr>
            <w:tcW w:type="dxa" w:w="5141"/>
            <w:vAlign w:val="top"/>
            <w:shd w:fill="F1F5F8"/>
          </w:tcPr>
          <w:p>
            <w:r>
              <w:rPr>
                <w:sz w:val="16"/>
              </w:rPr>
              <w:t>Card/transfer fees</w:t>
            </w:r>
          </w:p>
        </w:tc>
        <w:tc>
          <w:tcPr>
            <w:tcW w:type="dxa" w:w="5141"/>
            <w:vAlign w:val="top"/>
            <w:shd w:fill="F1F5F8"/>
          </w:tcPr>
          <w:p>
            <w:r>
              <w:rPr>
                <w:sz w:val="16"/>
              </w:rPr>
              <w:t>Absorbed by the business for validation; customer receives full €250 back.</w:t>
            </w:r>
          </w:p>
        </w:tc>
      </w:tr>
      <w:tr>
        <w:tc>
          <w:tcPr>
            <w:tcW w:type="dxa" w:w="5141"/>
            <w:vAlign w:val="top"/>
          </w:tcPr>
          <w:p>
            <w:r>
              <w:rPr>
                <w:sz w:val="16"/>
              </w:rPr>
              <w:t>Capacity representation</w:t>
            </w:r>
          </w:p>
        </w:tc>
        <w:tc>
          <w:tcPr>
            <w:tcW w:type="dxa" w:w="5141"/>
            <w:vAlign w:val="top"/>
          </w:tcPr>
          <w:p>
            <w:r>
              <w:rPr>
                <w:sz w:val="16"/>
              </w:rPr>
              <w:t>Priority position only, not a guaranteed unit or final acceptance until supplier/legal gates pass.</w:t>
            </w:r>
          </w:p>
        </w:tc>
      </w:tr>
      <w:tr>
        <w:tc>
          <w:tcPr>
            <w:tcW w:type="dxa" w:w="5141"/>
            <w:vAlign w:val="top"/>
            <w:shd w:fill="F1F5F8"/>
          </w:tcPr>
          <w:p>
            <w:r>
              <w:rPr>
                <w:sz w:val="16"/>
              </w:rPr>
              <w:t>Data</w:t>
            </w:r>
          </w:p>
        </w:tc>
        <w:tc>
          <w:tcPr>
            <w:tcW w:type="dxa" w:w="5141"/>
            <w:vAlign w:val="top"/>
            <w:shd w:fill="F1F5F8"/>
          </w:tcPr>
          <w:p>
            <w:r>
              <w:rPr>
                <w:sz w:val="16"/>
              </w:rPr>
              <w:t>Collect only information needed for qualification, refund and follow-up.</w:t>
            </w:r>
          </w:p>
        </w:tc>
      </w:tr>
    </w:tbl>
    <w:p/>
    <w:p>
      <w:pPr>
        <w:pStyle w:val="Heading1"/>
      </w:pPr>
      <w:r>
        <w:t>What counts</w:t>
      </w:r>
    </w:p>
    <w:tbl>
      <w:tblPr>
        <w:tblStyle w:val="TableGrid"/>
        <w:tblW w:type="auto" w:w="0"/>
        <w:jc w:val="center"/>
        <w:tblLook w:firstColumn="1" w:firstRow="1" w:lastColumn="0" w:lastRow="0" w:noHBand="0" w:noVBand="1" w:val="04A0"/>
      </w:tblPr>
      <w:tblGrid>
        <w:gridCol w:w="5141"/>
        <w:gridCol w:w="5141"/>
      </w:tblGrid>
      <w:tr>
        <w:tc>
          <w:tcPr>
            <w:tcW w:type="dxa" w:w="5141"/>
            <w:shd w:fill="1C767D"/>
          </w:tcPr>
          <w:p>
            <w:r>
              <w:rPr>
                <w:b/>
                <w:color w:val="FFFFFF"/>
                <w:sz w:val="16"/>
              </w:rPr>
              <w:t>Counts toward gate</w:t>
            </w:r>
          </w:p>
        </w:tc>
        <w:tc>
          <w:tcPr>
            <w:tcW w:type="dxa" w:w="5141"/>
            <w:shd w:fill="1C767D"/>
          </w:tcPr>
          <w:p>
            <w:r>
              <w:rPr>
                <w:b/>
                <w:color w:val="FFFFFF"/>
                <w:sz w:val="16"/>
              </w:rPr>
              <w:t>Does not count</w:t>
            </w:r>
          </w:p>
        </w:tc>
      </w:tr>
      <w:tr>
        <w:tc>
          <w:tcPr>
            <w:tcW w:type="dxa" w:w="5141"/>
            <w:vAlign w:val="top"/>
          </w:tcPr>
          <w:p>
            <w:r>
              <w:rPr>
                <w:sz w:val="16"/>
              </w:rPr>
              <w:t>Cleared payment from a unique qualified family</w:t>
            </w:r>
          </w:p>
        </w:tc>
        <w:tc>
          <w:tcPr>
            <w:tcW w:type="dxa" w:w="5141"/>
            <w:vAlign w:val="top"/>
          </w:tcPr>
          <w:p>
            <w:r>
              <w:rPr>
                <w:sz w:val="16"/>
              </w:rPr>
              <w:t>Free waitlist signup</w:t>
            </w:r>
          </w:p>
        </w:tc>
      </w:tr>
      <w:tr>
        <w:tc>
          <w:tcPr>
            <w:tcW w:type="dxa" w:w="5141"/>
            <w:vAlign w:val="top"/>
            <w:shd w:fill="F1F5F8"/>
          </w:tcPr>
          <w:p>
            <w:r>
              <w:rPr>
                <w:sz w:val="16"/>
              </w:rPr>
              <w:t>Reservation remains active at measurement date</w:t>
            </w:r>
          </w:p>
        </w:tc>
        <w:tc>
          <w:tcPr>
            <w:tcW w:type="dxa" w:w="5141"/>
            <w:vAlign w:val="top"/>
            <w:shd w:fill="F1F5F8"/>
          </w:tcPr>
          <w:p>
            <w:r>
              <w:rPr>
                <w:sz w:val="16"/>
              </w:rPr>
              <w:t>Instagram like, follow, save, share or DM</w:t>
            </w:r>
          </w:p>
        </w:tc>
      </w:tr>
      <w:tr>
        <w:tc>
          <w:tcPr>
            <w:tcW w:type="dxa" w:w="5141"/>
            <w:vAlign w:val="top"/>
          </w:tcPr>
          <w:p>
            <w:r>
              <w:rPr>
                <w:sz w:val="16"/>
              </w:rPr>
              <w:t>Customer saw exact price/dates/hours</w:t>
            </w:r>
          </w:p>
        </w:tc>
        <w:tc>
          <w:tcPr>
            <w:tcW w:type="dxa" w:w="5141"/>
            <w:vAlign w:val="top"/>
          </w:tcPr>
          <w:p>
            <w:r>
              <w:rPr>
                <w:sz w:val="16"/>
              </w:rPr>
              <w:t>Survey saying “interested”</w:t>
            </w:r>
          </w:p>
        </w:tc>
      </w:tr>
      <w:tr>
        <w:tc>
          <w:tcPr>
            <w:tcW w:type="dxa" w:w="5141"/>
            <w:vAlign w:val="top"/>
            <w:shd w:fill="F1F5F8"/>
          </w:tcPr>
          <w:p>
            <w:r>
              <w:rPr>
                <w:sz w:val="16"/>
              </w:rPr>
              <w:t>No hidden discount or founder subsidy</w:t>
            </w:r>
          </w:p>
        </w:tc>
        <w:tc>
          <w:tcPr>
            <w:tcW w:type="dxa" w:w="5141"/>
            <w:vAlign w:val="top"/>
            <w:shd w:fill="F1F5F8"/>
          </w:tcPr>
          <w:p>
            <w:r>
              <w:rPr>
                <w:sz w:val="16"/>
              </w:rPr>
              <w:t>Duplicate household/payment</w:t>
            </w:r>
          </w:p>
        </w:tc>
      </w:tr>
      <w:tr>
        <w:tc>
          <w:tcPr>
            <w:tcW w:type="dxa" w:w="5141"/>
            <w:vAlign w:val="top"/>
          </w:tcPr>
          <w:p>
            <w:r>
              <w:rPr>
                <w:sz w:val="16"/>
              </w:rPr>
              <w:t>Customer meets child-age and schedule criteria</w:t>
            </w:r>
          </w:p>
        </w:tc>
        <w:tc>
          <w:tcPr>
            <w:tcW w:type="dxa" w:w="5141"/>
            <w:vAlign w:val="top"/>
          </w:tcPr>
          <w:p>
            <w:r>
              <w:rPr>
                <w:sz w:val="16"/>
              </w:rPr>
              <w:t>Staff, founder or vendor reservation</w:t>
            </w:r>
          </w:p>
        </w:tc>
      </w:tr>
      <w:tr>
        <w:tc>
          <w:tcPr>
            <w:tcW w:type="dxa" w:w="5141"/>
            <w:vAlign w:val="top"/>
            <w:shd w:fill="F1F5F8"/>
          </w:tcPr>
          <w:p>
            <w:r>
              <w:rPr>
                <w:sz w:val="16"/>
              </w:rPr>
              <w:t>Refund request removed immediately from active count</w:t>
            </w:r>
          </w:p>
        </w:tc>
        <w:tc>
          <w:tcPr>
            <w:tcW w:type="dxa" w:w="5141"/>
            <w:vAlign w:val="top"/>
            <w:shd w:fill="F1F5F8"/>
          </w:tcPr>
          <w:p>
            <w:r>
              <w:rPr>
                <w:sz w:val="16"/>
              </w:rPr>
              <w:t>Reservation with special undisclosed terms</w:t>
            </w:r>
          </w:p>
        </w:tc>
      </w:tr>
    </w:tbl>
    <w:p/>
    <w:p>
      <w:pPr>
        <w:pStyle w:val="Heading1"/>
      </w:pPr>
      <w:r>
        <w:t>Qualification questions</w:t>
      </w:r>
    </w:p>
    <w:p>
      <w:pPr>
        <w:pStyle w:val="ListNumber"/>
      </w:pPr>
      <w:r>
        <w:t>Number and ages of children on 5 July 2027.</w:t>
      </w:r>
    </w:p>
    <w:p>
      <w:pPr>
        <w:pStyle w:val="ListNumber"/>
      </w:pPr>
      <w:r>
        <w:t>Preferred city and acceptable alternate.</w:t>
      </w:r>
    </w:p>
    <w:p>
      <w:pPr>
        <w:pStyle w:val="ListNumber"/>
      </w:pPr>
      <w:r>
        <w:t>Required work-time zone and hours.</w:t>
      </w:r>
    </w:p>
    <w:p>
      <w:pPr>
        <w:pStyle w:val="ListNumber"/>
      </w:pPr>
      <w:r>
        <w:t>Need for coworking, Friday late care, allergies/accessibility or housing upgrade.</w:t>
      </w:r>
    </w:p>
    <w:p>
      <w:pPr>
        <w:pStyle w:val="ListNumber"/>
      </w:pPr>
      <w:r>
        <w:t>Passport/entry eligibility acknowledgement—not document collection at this stage.</w:t>
      </w:r>
    </w:p>
    <w:p>
      <w:pPr>
        <w:pStyle w:val="ListNumber"/>
      </w:pPr>
      <w:r>
        <w:t>Acceptance of displayed price range, exclusions and refundable reservation terms.</w:t>
      </w:r>
    </w:p>
    <w:p>
      <w:pPr>
        <w:pStyle w:val="Heading1"/>
      </w:pPr>
      <w:r>
        <w:t>Thresholds</w:t>
      </w:r>
    </w:p>
    <w:tbl>
      <w:tblPr>
        <w:tblStyle w:val="TableGrid"/>
        <w:tblW w:type="auto" w:w="0"/>
        <w:jc w:val="center"/>
        <w:tblLook w:firstColumn="1" w:firstRow="1" w:lastColumn="0" w:lastRow="0" w:noHBand="0" w:noVBand="1" w:val="04A0"/>
      </w:tblPr>
      <w:tblGrid>
        <w:gridCol w:w="3427"/>
        <w:gridCol w:w="3427"/>
        <w:gridCol w:w="3427"/>
      </w:tblGrid>
      <w:tr>
        <w:tc>
          <w:tcPr>
            <w:tcW w:type="dxa" w:w="3427"/>
            <w:shd w:fill="1C767D"/>
          </w:tcPr>
          <w:p>
            <w:r>
              <w:rPr>
                <w:b/>
                <w:color w:val="FFFFFF"/>
                <w:sz w:val="16"/>
              </w:rPr>
              <w:t>Measurement point</w:t>
            </w:r>
          </w:p>
        </w:tc>
        <w:tc>
          <w:tcPr>
            <w:tcW w:type="dxa" w:w="3427"/>
            <w:shd w:fill="1C767D"/>
          </w:tcPr>
          <w:p>
            <w:r>
              <w:rPr>
                <w:b/>
                <w:color w:val="FFFFFF"/>
                <w:sz w:val="16"/>
              </w:rPr>
              <w:t>Minimum active paid reservations</w:t>
            </w:r>
          </w:p>
        </w:tc>
        <w:tc>
          <w:tcPr>
            <w:tcW w:type="dxa" w:w="3427"/>
            <w:shd w:fill="1C767D"/>
          </w:tcPr>
          <w:p>
            <w:r>
              <w:rPr>
                <w:b/>
                <w:color w:val="FFFFFF"/>
                <w:sz w:val="16"/>
              </w:rPr>
              <w:t>Decision</w:t>
            </w:r>
          </w:p>
        </w:tc>
      </w:tr>
      <w:tr>
        <w:tc>
          <w:tcPr>
            <w:tcW w:type="dxa" w:w="3427"/>
            <w:vAlign w:val="top"/>
          </w:tcPr>
          <w:p>
            <w:r>
              <w:rPr>
                <w:sz w:val="16"/>
              </w:rPr>
              <w:t>30 days</w:t>
            </w:r>
          </w:p>
        </w:tc>
        <w:tc>
          <w:tcPr>
            <w:tcW w:type="dxa" w:w="3427"/>
            <w:vAlign w:val="top"/>
          </w:tcPr>
          <w:p>
            <w:r>
              <w:rPr>
                <w:sz w:val="16"/>
              </w:rPr>
              <w:t>10</w:t>
            </w:r>
          </w:p>
        </w:tc>
        <w:tc>
          <w:tcPr>
            <w:tcW w:type="dxa" w:w="3427"/>
            <w:vAlign w:val="top"/>
          </w:tcPr>
          <w:p>
            <w:r>
              <w:rPr>
                <w:sz w:val="16"/>
              </w:rPr>
              <w:t>Below 10: pause paid media and diagnose offer/price/channel before more supplier exposure.</w:t>
            </w:r>
          </w:p>
        </w:tc>
      </w:tr>
      <w:tr>
        <w:tc>
          <w:tcPr>
            <w:tcW w:type="dxa" w:w="3427"/>
            <w:vAlign w:val="top"/>
            <w:shd w:fill="F1F5F8"/>
          </w:tcPr>
          <w:p>
            <w:r>
              <w:rPr>
                <w:sz w:val="16"/>
              </w:rPr>
              <w:t>60 days</w:t>
            </w:r>
          </w:p>
        </w:tc>
        <w:tc>
          <w:tcPr>
            <w:tcW w:type="dxa" w:w="3427"/>
            <w:vAlign w:val="top"/>
            <w:shd w:fill="F1F5F8"/>
          </w:tcPr>
          <w:p>
            <w:r>
              <w:rPr>
                <w:sz w:val="16"/>
              </w:rPr>
              <w:t>20</w:t>
            </w:r>
          </w:p>
        </w:tc>
        <w:tc>
          <w:tcPr>
            <w:tcW w:type="dxa" w:w="3427"/>
            <w:vAlign w:val="top"/>
            <w:shd w:fill="F1F5F8"/>
          </w:tcPr>
          <w:p>
            <w:r>
              <w:rPr>
                <w:sz w:val="16"/>
              </w:rPr>
              <w:t>Below 20: do not choose city or sign material inventory.</w:t>
            </w:r>
          </w:p>
        </w:tc>
      </w:tr>
      <w:tr>
        <w:tc>
          <w:tcPr>
            <w:tcW w:type="dxa" w:w="3427"/>
            <w:vAlign w:val="top"/>
          </w:tcPr>
          <w:p>
            <w:r>
              <w:rPr>
                <w:sz w:val="16"/>
              </w:rPr>
              <w:t>90 days</w:t>
            </w:r>
          </w:p>
        </w:tc>
        <w:tc>
          <w:tcPr>
            <w:tcW w:type="dxa" w:w="3427"/>
            <w:vAlign w:val="top"/>
          </w:tcPr>
          <w:p>
            <w:r>
              <w:rPr>
                <w:sz w:val="16"/>
              </w:rPr>
              <w:t>30 minimum; 36 target</w:t>
            </w:r>
          </w:p>
        </w:tc>
        <w:tc>
          <w:tcPr>
            <w:tcW w:type="dxa" w:w="3427"/>
            <w:vAlign w:val="top"/>
          </w:tcPr>
          <w:p>
            <w:r>
              <w:rPr>
                <w:sz w:val="16"/>
              </w:rPr>
              <w:t>Below 30: no launch. 30–36: proceed only if supplier/legal gates pass.</w:t>
            </w:r>
          </w:p>
        </w:tc>
      </w:tr>
      <w:tr>
        <w:tc>
          <w:tcPr>
            <w:tcW w:type="dxa" w:w="3427"/>
            <w:vAlign w:val="top"/>
            <w:shd w:fill="F1F5F8"/>
          </w:tcPr>
          <w:p>
            <w:r>
              <w:rPr>
                <w:sz w:val="16"/>
              </w:rPr>
              <w:t>31 January 2027</w:t>
            </w:r>
          </w:p>
        </w:tc>
        <w:tc>
          <w:tcPr>
            <w:tcW w:type="dxa" w:w="3427"/>
            <w:vAlign w:val="top"/>
            <w:shd w:fill="F1F5F8"/>
          </w:tcPr>
          <w:p>
            <w:r>
              <w:rPr>
                <w:sz w:val="16"/>
              </w:rPr>
              <w:t>15 signed program contracts</w:t>
            </w:r>
          </w:p>
        </w:tc>
        <w:tc>
          <w:tcPr>
            <w:tcW w:type="dxa" w:w="3427"/>
            <w:vAlign w:val="top"/>
            <w:shd w:fill="F1F5F8"/>
          </w:tcPr>
          <w:p>
            <w:r>
              <w:rPr>
                <w:sz w:val="16"/>
              </w:rPr>
              <w:t>Below 15: cancel/postpone and release inventory.</w:t>
            </w:r>
          </w:p>
        </w:tc>
      </w:tr>
    </w:tbl>
    <w:p/>
    <w:p>
      <w:r>
        <w:t>Reservations can exceed cohort capacity because not all will convert, but customer messaging must not imply guaranteed acceptance.</w:t>
      </w:r>
    </w:p>
    <w:p>
      <w:pPr>
        <w:pStyle w:val="Heading1"/>
      </w:pPr>
      <w:r>
        <w:t>City-selection experiment</w:t>
      </w:r>
    </w:p>
    <w:p>
      <w:pPr>
        <w:pStyle w:val="ListNumber"/>
      </w:pPr>
      <w:r>
        <w:t>Use matched landing-page structure, photography quality, detail and traffic allocation for both cities.</w:t>
      </w:r>
    </w:p>
    <w:p>
      <w:pPr>
        <w:pStyle w:val="ListNumber"/>
      </w:pPr>
      <w:r>
        <w:t>Do not let a cheaper Porto price receive weaker presentation or different qualification rules.</w:t>
      </w:r>
    </w:p>
    <w:p>
      <w:pPr>
        <w:pStyle w:val="ListNumber"/>
      </w:pPr>
      <w:r>
        <w:t>Report unique visitors, qualified starts, completed payments, refund requests and signed conversions by city and family size.</w:t>
      </w:r>
    </w:p>
    <w:p>
      <w:pPr>
        <w:pStyle w:val="ListNumber"/>
      </w:pPr>
      <w:r>
        <w:t>Normalize acquisition costs for channel and audience differences.</w:t>
      </w:r>
    </w:p>
    <w:p>
      <w:pPr>
        <w:pStyle w:val="ListNumber"/>
      </w:pPr>
      <w:r>
        <w:t>Select the city only after integrating paid conversion with written supplier economics.</w:t>
      </w:r>
    </w:p>
    <w:tbl>
      <w:tblPr>
        <w:tblStyle w:val="TableGrid"/>
        <w:tblW w:type="auto" w:w="0"/>
        <w:jc w:val="center"/>
        <w:tblLook w:firstColumn="1" w:firstRow="1" w:lastColumn="0" w:lastRow="0" w:noHBand="0" w:noVBand="1" w:val="04A0"/>
      </w:tblPr>
      <w:tblGrid>
        <w:gridCol w:w="3427"/>
        <w:gridCol w:w="3427"/>
        <w:gridCol w:w="3427"/>
      </w:tblGrid>
      <w:tr>
        <w:tc>
          <w:tcPr>
            <w:tcW w:type="dxa" w:w="3427"/>
            <w:shd w:fill="1C767D"/>
          </w:tcPr>
          <w:p>
            <w:r>
              <w:rPr>
                <w:b/>
                <w:color w:val="FFFFFF"/>
                <w:sz w:val="16"/>
              </w:rPr>
              <w:t>Metric</w:t>
            </w:r>
          </w:p>
        </w:tc>
        <w:tc>
          <w:tcPr>
            <w:tcW w:type="dxa" w:w="3427"/>
            <w:shd w:fill="1C767D"/>
          </w:tcPr>
          <w:p>
            <w:r>
              <w:rPr>
                <w:b/>
                <w:color w:val="FFFFFF"/>
                <w:sz w:val="16"/>
              </w:rPr>
              <w:t>Definition</w:t>
            </w:r>
          </w:p>
        </w:tc>
        <w:tc>
          <w:tcPr>
            <w:tcW w:type="dxa" w:w="3427"/>
            <w:shd w:fill="1C767D"/>
          </w:tcPr>
          <w:p>
            <w:r>
              <w:rPr>
                <w:b/>
                <w:color w:val="FFFFFF"/>
                <w:sz w:val="16"/>
              </w:rPr>
              <w:t>Target / use</w:t>
            </w:r>
          </w:p>
        </w:tc>
      </w:tr>
      <w:tr>
        <w:tc>
          <w:tcPr>
            <w:tcW w:type="dxa" w:w="3427"/>
            <w:vAlign w:val="top"/>
          </w:tcPr>
          <w:p>
            <w:r>
              <w:rPr>
                <w:sz w:val="16"/>
              </w:rPr>
              <w:t>Paid reservation conversion</w:t>
            </w:r>
          </w:p>
        </w:tc>
        <w:tc>
          <w:tcPr>
            <w:tcW w:type="dxa" w:w="3427"/>
            <w:vAlign w:val="top"/>
          </w:tcPr>
          <w:p>
            <w:r>
              <w:rPr>
                <w:sz w:val="16"/>
              </w:rPr>
              <w:t>Active paid reservations ÷ qualified landing-page visitors</w:t>
            </w:r>
          </w:p>
        </w:tc>
        <w:tc>
          <w:tcPr>
            <w:tcW w:type="dxa" w:w="3427"/>
            <w:vAlign w:val="top"/>
          </w:tcPr>
          <w:p>
            <w:r>
              <w:rPr>
                <w:sz w:val="16"/>
              </w:rPr>
              <w:t>Compare by city/channel; no universal public benchmark assumed.</w:t>
            </w:r>
          </w:p>
        </w:tc>
      </w:tr>
      <w:tr>
        <w:tc>
          <w:tcPr>
            <w:tcW w:type="dxa" w:w="3427"/>
            <w:vAlign w:val="top"/>
            <w:shd w:fill="F1F5F8"/>
          </w:tcPr>
          <w:p>
            <w:r>
              <w:rPr>
                <w:sz w:val="16"/>
              </w:rPr>
              <w:t>30-day refund rate</w:t>
            </w:r>
          </w:p>
        </w:tc>
        <w:tc>
          <w:tcPr>
            <w:tcW w:type="dxa" w:w="3427"/>
            <w:vAlign w:val="top"/>
            <w:shd w:fill="F1F5F8"/>
          </w:tcPr>
          <w:p>
            <w:r>
              <w:rPr>
                <w:sz w:val="16"/>
              </w:rPr>
              <w:t>Refunded reservations ÷ cleared reservations</w:t>
            </w:r>
          </w:p>
        </w:tc>
        <w:tc>
          <w:tcPr>
            <w:tcW w:type="dxa" w:w="3427"/>
            <w:vAlign w:val="top"/>
            <w:shd w:fill="F1F5F8"/>
          </w:tcPr>
          <w:p>
            <w:r>
              <w:rPr>
                <w:sz w:val="16"/>
              </w:rPr>
              <w:t>High rate triggers interview/review; refunded payments do not count.</w:t>
            </w:r>
          </w:p>
        </w:tc>
      </w:tr>
      <w:tr>
        <w:tc>
          <w:tcPr>
            <w:tcW w:type="dxa" w:w="3427"/>
            <w:vAlign w:val="top"/>
          </w:tcPr>
          <w:p>
            <w:r>
              <w:rPr>
                <w:sz w:val="16"/>
              </w:rPr>
              <w:t>CAC per active reservation</w:t>
            </w:r>
          </w:p>
        </w:tc>
        <w:tc>
          <w:tcPr>
            <w:tcW w:type="dxa" w:w="3427"/>
            <w:vAlign w:val="top"/>
          </w:tcPr>
          <w:p>
            <w:r>
              <w:rPr>
                <w:sz w:val="16"/>
              </w:rPr>
              <w:t>Eligible paid media + attributable creator/partner cost ÷ active paid reservations</w:t>
            </w:r>
          </w:p>
        </w:tc>
        <w:tc>
          <w:tcPr>
            <w:tcW w:type="dxa" w:w="3427"/>
            <w:vAlign w:val="top"/>
          </w:tcPr>
          <w:p>
            <w:r>
              <w:rPr>
                <w:sz w:val="16"/>
              </w:rPr>
              <w:t>Diagnostic; not final customer CAC.</w:t>
            </w:r>
          </w:p>
        </w:tc>
      </w:tr>
      <w:tr>
        <w:tc>
          <w:tcPr>
            <w:tcW w:type="dxa" w:w="3427"/>
            <w:vAlign w:val="top"/>
            <w:shd w:fill="F1F5F8"/>
          </w:tcPr>
          <w:p>
            <w:r>
              <w:rPr>
                <w:sz w:val="16"/>
              </w:rPr>
              <w:t>Signed-family CAC</w:t>
            </w:r>
          </w:p>
        </w:tc>
        <w:tc>
          <w:tcPr>
            <w:tcW w:type="dxa" w:w="3427"/>
            <w:vAlign w:val="top"/>
            <w:shd w:fill="F1F5F8"/>
          </w:tcPr>
          <w:p>
            <w:r>
              <w:rPr>
                <w:sz w:val="16"/>
              </w:rPr>
              <w:t>All acquisition spend ÷ signed families</w:t>
            </w:r>
          </w:p>
        </w:tc>
        <w:tc>
          <w:tcPr>
            <w:tcW w:type="dxa" w:w="3427"/>
            <w:vAlign w:val="top"/>
            <w:shd w:fill="F1F5F8"/>
          </w:tcPr>
          <w:p>
            <w:r>
              <w:rPr>
                <w:sz w:val="16"/>
              </w:rPr>
              <w:t>Porto base €850 planning; Cascais €900; hard ceiling €1,500 absent margin reprice.</w:t>
            </w:r>
          </w:p>
        </w:tc>
      </w:tr>
      <w:tr>
        <w:tc>
          <w:tcPr>
            <w:tcW w:type="dxa" w:w="3427"/>
            <w:vAlign w:val="top"/>
          </w:tcPr>
          <w:p>
            <w:r>
              <w:rPr>
                <w:sz w:val="16"/>
              </w:rPr>
              <w:t>Reservation-to-contract</w:t>
            </w:r>
          </w:p>
        </w:tc>
        <w:tc>
          <w:tcPr>
            <w:tcW w:type="dxa" w:w="3427"/>
            <w:vAlign w:val="top"/>
          </w:tcPr>
          <w:p>
            <w:r>
              <w:rPr>
                <w:sz w:val="16"/>
              </w:rPr>
              <w:t>Signed families ÷ unique reservations</w:t>
            </w:r>
          </w:p>
        </w:tc>
        <w:tc>
          <w:tcPr>
            <w:tcW w:type="dxa" w:w="3427"/>
            <w:vAlign w:val="top"/>
          </w:tcPr>
          <w:p>
            <w:r>
              <w:rPr>
                <w:sz w:val="16"/>
              </w:rPr>
              <w:t>Use for inventory and cash planning.</w:t>
            </w:r>
          </w:p>
        </w:tc>
      </w:tr>
    </w:tbl>
    <w:p/>
    <w:p>
      <w:pPr>
        <w:pStyle w:val="Heading1"/>
      </w:pPr>
      <w:r>
        <w:t>Traffic and channel rules</w:t>
      </w:r>
    </w:p>
    <w:p>
      <w:pPr>
        <w:pStyle w:val="ListBullet"/>
      </w:pPr>
      <w:r>
        <w:t>Use paid social/search, relevant newsletters, family-travel creators, founder/remote-work communities and referrals as measurable channels.</w:t>
      </w:r>
    </w:p>
    <w:p>
      <w:pPr>
        <w:pStyle w:val="ListBullet"/>
      </w:pPr>
      <w:r>
        <w:t>Track every source with campaign IDs and deduplicate households.</w:t>
      </w:r>
    </w:p>
    <w:p>
      <w:pPr>
        <w:pStyle w:val="ListBullet"/>
      </w:pPr>
      <w:r>
        <w:t>Include cash creator fees and discounts in CAC.</w:t>
      </w:r>
    </w:p>
    <w:p>
      <w:pPr>
        <w:pStyle w:val="ListBullet"/>
      </w:pPr>
      <w:r>
        <w:t>Do not report organic impressions as demand.</w:t>
      </w:r>
    </w:p>
    <w:p>
      <w:pPr>
        <w:pStyle w:val="ListBullet"/>
      </w:pPr>
      <w:r>
        <w:t>A referral counts only when the referred family pays.</w:t>
      </w:r>
    </w:p>
    <w:p>
      <w:pPr>
        <w:pStyle w:val="Heading1"/>
      </w:pPr>
      <w:r>
        <w:t>Customer truth standards</w:t>
      </w:r>
    </w:p>
    <w:p>
      <w:pPr>
        <w:pStyle w:val="ListBullet"/>
      </w:pPr>
      <w:r>
        <w:t>State exact child hours and time-zone conversion.</w:t>
      </w:r>
    </w:p>
    <w:p>
      <w:pPr>
        <w:pStyle w:val="ListBullet"/>
      </w:pPr>
      <w:r>
        <w:t>State that 09:00–17:00 Pacific is not fully covered.</w:t>
      </w:r>
    </w:p>
    <w:p>
      <w:pPr>
        <w:pStyle w:val="ListBullet"/>
      </w:pPr>
      <w:r>
        <w:t>Name the contracting organizer and identify the camp as third-party operated once selected.</w:t>
      </w:r>
    </w:p>
    <w:p>
      <w:pPr>
        <w:pStyle w:val="ListBullet"/>
      </w:pPr>
      <w:r>
        <w:t>State whether housing is assigned before final payment and the remedy if assignment materially differs.</w:t>
      </w:r>
    </w:p>
    <w:p>
      <w:pPr>
        <w:pStyle w:val="ListBullet"/>
      </w:pPr>
      <w:r>
        <w:t>State that the cohort is conditional on minimum enrollment and supplier/legal gates.</w:t>
      </w:r>
    </w:p>
    <w:p>
      <w:pPr>
        <w:pStyle w:val="ListBullet"/>
      </w:pPr>
      <w:r>
        <w:t>State refund mechanics plainly and avoid nonrefundable language during the validation stage.</w:t>
      </w:r>
    </w:p>
    <w:p>
      <w:pPr>
        <w:pStyle w:val="Heading1"/>
      </w:pPr>
      <w:r>
        <w:t>Decision matrix after 90 days</w:t>
      </w:r>
    </w:p>
    <w:tbl>
      <w:tblPr>
        <w:tblStyle w:val="TableGrid"/>
        <w:tblW w:type="auto" w:w="0"/>
        <w:jc w:val="center"/>
        <w:tblLook w:firstColumn="1" w:firstRow="1" w:lastColumn="0" w:lastRow="0" w:noHBand="0" w:noVBand="1" w:val="04A0"/>
      </w:tblPr>
      <w:tblGrid>
        <w:gridCol w:w="3427"/>
        <w:gridCol w:w="3427"/>
        <w:gridCol w:w="3427"/>
      </w:tblGrid>
      <w:tr>
        <w:tc>
          <w:tcPr>
            <w:tcW w:type="dxa" w:w="3427"/>
            <w:shd w:fill="1C767D"/>
          </w:tcPr>
          <w:p>
            <w:r>
              <w:rPr>
                <w:b/>
                <w:color w:val="FFFFFF"/>
                <w:sz w:val="17"/>
              </w:rPr>
              <w:t>Supplier economics</w:t>
            </w:r>
          </w:p>
        </w:tc>
        <w:tc>
          <w:tcPr>
            <w:tcW w:type="dxa" w:w="3427"/>
            <w:shd w:fill="1C767D"/>
          </w:tcPr>
          <w:p>
            <w:r>
              <w:rPr>
                <w:b/>
                <w:color w:val="FFFFFF"/>
                <w:sz w:val="17"/>
              </w:rPr>
              <w:t>Paid demand</w:t>
            </w:r>
          </w:p>
        </w:tc>
        <w:tc>
          <w:tcPr>
            <w:tcW w:type="dxa" w:w="3427"/>
            <w:shd w:fill="1C767D"/>
          </w:tcPr>
          <w:p>
            <w:r>
              <w:rPr>
                <w:b/>
                <w:color w:val="FFFFFF"/>
                <w:sz w:val="17"/>
              </w:rPr>
              <w:t>Action</w:t>
            </w:r>
          </w:p>
        </w:tc>
      </w:tr>
      <w:tr>
        <w:tc>
          <w:tcPr>
            <w:tcW w:type="dxa" w:w="3427"/>
            <w:vAlign w:val="top"/>
          </w:tcPr>
          <w:p>
            <w:r>
              <w:rPr>
                <w:sz w:val="17"/>
              </w:rPr>
              <w:t>Pass</w:t>
            </w:r>
          </w:p>
        </w:tc>
        <w:tc>
          <w:tcPr>
            <w:tcW w:type="dxa" w:w="3427"/>
            <w:vAlign w:val="top"/>
          </w:tcPr>
          <w:p>
            <w:r>
              <w:rPr>
                <w:sz w:val="17"/>
              </w:rPr>
              <w:t>Pass</w:t>
            </w:r>
          </w:p>
        </w:tc>
        <w:tc>
          <w:tcPr>
            <w:tcW w:type="dxa" w:w="3427"/>
            <w:vAlign w:val="top"/>
          </w:tcPr>
          <w:p>
            <w:r>
              <w:rPr>
                <w:sz w:val="17"/>
              </w:rPr>
              <w:t>Select city; convert reservations to contracts under approved terms.</w:t>
            </w:r>
          </w:p>
        </w:tc>
      </w:tr>
      <w:tr>
        <w:tc>
          <w:tcPr>
            <w:tcW w:type="dxa" w:w="3427"/>
            <w:vAlign w:val="top"/>
            <w:shd w:fill="F1F5F8"/>
          </w:tcPr>
          <w:p>
            <w:r>
              <w:rPr>
                <w:sz w:val="17"/>
              </w:rPr>
              <w:t>Pass</w:t>
            </w:r>
          </w:p>
        </w:tc>
        <w:tc>
          <w:tcPr>
            <w:tcW w:type="dxa" w:w="3427"/>
            <w:vAlign w:val="top"/>
            <w:shd w:fill="F1F5F8"/>
          </w:tcPr>
          <w:p>
            <w:r>
              <w:rPr>
                <w:sz w:val="17"/>
              </w:rPr>
              <w:t>Fail</w:t>
            </w:r>
          </w:p>
        </w:tc>
        <w:tc>
          <w:tcPr>
            <w:tcW w:type="dxa" w:w="3427"/>
            <w:vAlign w:val="top"/>
            <w:shd w:fill="F1F5F8"/>
          </w:tcPr>
          <w:p>
            <w:r>
              <w:rPr>
                <w:sz w:val="17"/>
              </w:rPr>
              <w:t>Do not launch; review price/product/channel only after issuing refunds.</w:t>
            </w:r>
          </w:p>
        </w:tc>
      </w:tr>
      <w:tr>
        <w:tc>
          <w:tcPr>
            <w:tcW w:type="dxa" w:w="3427"/>
            <w:vAlign w:val="top"/>
          </w:tcPr>
          <w:p>
            <w:r>
              <w:rPr>
                <w:sz w:val="17"/>
              </w:rPr>
              <w:t>Fail</w:t>
            </w:r>
          </w:p>
        </w:tc>
        <w:tc>
          <w:tcPr>
            <w:tcW w:type="dxa" w:w="3427"/>
            <w:vAlign w:val="top"/>
          </w:tcPr>
          <w:p>
            <w:r>
              <w:rPr>
                <w:sz w:val="17"/>
              </w:rPr>
              <w:t>Pass</w:t>
            </w:r>
          </w:p>
        </w:tc>
        <w:tc>
          <w:tcPr>
            <w:tcW w:type="dxa" w:w="3427"/>
            <w:vAlign w:val="top"/>
          </w:tcPr>
          <w:p>
            <w:r>
              <w:rPr>
                <w:sz w:val="17"/>
              </w:rPr>
              <w:t>Reprice/reconfigure and re-consent customers; do not rely on demand to justify bad economics.</w:t>
            </w:r>
          </w:p>
        </w:tc>
      </w:tr>
      <w:tr>
        <w:tc>
          <w:tcPr>
            <w:tcW w:type="dxa" w:w="3427"/>
            <w:vAlign w:val="top"/>
            <w:shd w:fill="F1F5F8"/>
          </w:tcPr>
          <w:p>
            <w:r>
              <w:rPr>
                <w:sz w:val="17"/>
              </w:rPr>
              <w:t>Fail</w:t>
            </w:r>
          </w:p>
        </w:tc>
        <w:tc>
          <w:tcPr>
            <w:tcW w:type="dxa" w:w="3427"/>
            <w:vAlign w:val="top"/>
            <w:shd w:fill="F1F5F8"/>
          </w:tcPr>
          <w:p>
            <w:r>
              <w:rPr>
                <w:sz w:val="17"/>
              </w:rPr>
              <w:t>Fail</w:t>
            </w:r>
          </w:p>
        </w:tc>
        <w:tc>
          <w:tcPr>
            <w:tcW w:type="dxa" w:w="3427"/>
            <w:vAlign w:val="top"/>
            <w:shd w:fill="F1F5F8"/>
          </w:tcPr>
          <w:p>
            <w:r>
              <w:rPr>
                <w:sz w:val="17"/>
              </w:rPr>
              <w:t>Stop.</w:t>
            </w:r>
          </w:p>
        </w:tc>
      </w:tr>
    </w:tbl>
    <w:p/>
    <w:p>
      <w:pPr>
        <w:pStyle w:val="Heading1"/>
      </w:pPr>
      <w:r>
        <w:t>Validation reporting template</w:t>
      </w:r>
    </w:p>
    <w:tbl>
      <w:tblPr>
        <w:tblStyle w:val="TableGrid"/>
        <w:tblW w:type="auto" w:w="0"/>
        <w:jc w:val="center"/>
        <w:tblLook w:firstColumn="1" w:firstRow="1" w:lastColumn="0" w:lastRow="0" w:noHBand="0" w:noVBand="1" w:val="04A0"/>
      </w:tblPr>
      <w:tblGrid>
        <w:gridCol w:w="2570"/>
        <w:gridCol w:w="2570"/>
        <w:gridCol w:w="2570"/>
        <w:gridCol w:w="2570"/>
      </w:tblGrid>
      <w:tr>
        <w:tc>
          <w:tcPr>
            <w:tcW w:type="dxa" w:w="2570"/>
            <w:shd w:fill="1C767D"/>
          </w:tcPr>
          <w:p>
            <w:r>
              <w:rPr>
                <w:b/>
                <w:color w:val="FFFFFF"/>
                <w:sz w:val="17"/>
              </w:rPr>
              <w:t>Field</w:t>
            </w:r>
          </w:p>
        </w:tc>
        <w:tc>
          <w:tcPr>
            <w:tcW w:type="dxa" w:w="2570"/>
            <w:shd w:fill="1C767D"/>
          </w:tcPr>
          <w:p>
            <w:r>
              <w:rPr>
                <w:b/>
                <w:color w:val="FFFFFF"/>
                <w:sz w:val="17"/>
              </w:rPr>
              <w:t>Cascais</w:t>
            </w:r>
          </w:p>
        </w:tc>
        <w:tc>
          <w:tcPr>
            <w:tcW w:type="dxa" w:w="2570"/>
            <w:shd w:fill="1C767D"/>
          </w:tcPr>
          <w:p>
            <w:r>
              <w:rPr>
                <w:b/>
                <w:color w:val="FFFFFF"/>
                <w:sz w:val="17"/>
              </w:rPr>
              <w:t>Porto</w:t>
            </w:r>
          </w:p>
        </w:tc>
        <w:tc>
          <w:tcPr>
            <w:tcW w:type="dxa" w:w="2570"/>
            <w:shd w:fill="1C767D"/>
          </w:tcPr>
          <w:p>
            <w:r>
              <w:rPr>
                <w:b/>
                <w:color w:val="FFFFFF"/>
                <w:sz w:val="17"/>
              </w:rPr>
              <w:t>Total</w:t>
            </w:r>
          </w:p>
        </w:tc>
      </w:tr>
      <w:tr>
        <w:tc>
          <w:tcPr>
            <w:tcW w:type="dxa" w:w="2570"/>
            <w:vAlign w:val="top"/>
          </w:tcPr>
          <w:p>
            <w:r>
              <w:rPr>
                <w:sz w:val="17"/>
              </w:rPr>
              <w:t>Qualified visitors</w:t>
            </w:r>
          </w:p>
        </w:tc>
        <w:tc>
          <w:tcPr>
            <w:tcW w:type="dxa" w:w="2570"/>
            <w:vAlign w:val="top"/>
          </w:tcPr>
          <w:p>
            <w:r>
              <w:rPr>
                <w:sz w:val="17"/>
              </w:rPr>
            </w:r>
          </w:p>
        </w:tc>
        <w:tc>
          <w:tcPr>
            <w:tcW w:type="dxa" w:w="2570"/>
            <w:vAlign w:val="top"/>
          </w:tcPr>
          <w:p>
            <w:r>
              <w:rPr>
                <w:sz w:val="17"/>
              </w:rPr>
            </w:r>
          </w:p>
        </w:tc>
        <w:tc>
          <w:tcPr>
            <w:tcW w:type="dxa" w:w="2570"/>
            <w:vAlign w:val="top"/>
          </w:tcPr>
          <w:p>
            <w:r>
              <w:rPr>
                <w:sz w:val="17"/>
              </w:rPr>
            </w:r>
          </w:p>
        </w:tc>
      </w:tr>
      <w:tr>
        <w:tc>
          <w:tcPr>
            <w:tcW w:type="dxa" w:w="2570"/>
            <w:vAlign w:val="top"/>
            <w:shd w:fill="F1F5F8"/>
          </w:tcPr>
          <w:p>
            <w:r>
              <w:rPr>
                <w:sz w:val="17"/>
              </w:rPr>
              <w:t>Cleared reservations</w:t>
            </w:r>
          </w:p>
        </w:tc>
        <w:tc>
          <w:tcPr>
            <w:tcW w:type="dxa" w:w="2570"/>
            <w:vAlign w:val="top"/>
            <w:shd w:fill="F1F5F8"/>
          </w:tcPr>
          <w:p>
            <w:r>
              <w:rPr>
                <w:sz w:val="17"/>
              </w:rPr>
            </w:r>
          </w:p>
        </w:tc>
        <w:tc>
          <w:tcPr>
            <w:tcW w:type="dxa" w:w="2570"/>
            <w:vAlign w:val="top"/>
            <w:shd w:fill="F1F5F8"/>
          </w:tcPr>
          <w:p>
            <w:r>
              <w:rPr>
                <w:sz w:val="17"/>
              </w:rPr>
            </w:r>
          </w:p>
        </w:tc>
        <w:tc>
          <w:tcPr>
            <w:tcW w:type="dxa" w:w="2570"/>
            <w:vAlign w:val="top"/>
            <w:shd w:fill="F1F5F8"/>
          </w:tcPr>
          <w:p>
            <w:r>
              <w:rPr>
                <w:sz w:val="17"/>
              </w:rPr>
            </w:r>
          </w:p>
        </w:tc>
      </w:tr>
      <w:tr>
        <w:tc>
          <w:tcPr>
            <w:tcW w:type="dxa" w:w="2570"/>
            <w:vAlign w:val="top"/>
          </w:tcPr>
          <w:p>
            <w:r>
              <w:rPr>
                <w:sz w:val="17"/>
              </w:rPr>
              <w:t>Refunded reservations</w:t>
            </w:r>
          </w:p>
        </w:tc>
        <w:tc>
          <w:tcPr>
            <w:tcW w:type="dxa" w:w="2570"/>
            <w:vAlign w:val="top"/>
          </w:tcPr>
          <w:p>
            <w:r>
              <w:rPr>
                <w:sz w:val="17"/>
              </w:rPr>
            </w:r>
          </w:p>
        </w:tc>
        <w:tc>
          <w:tcPr>
            <w:tcW w:type="dxa" w:w="2570"/>
            <w:vAlign w:val="top"/>
          </w:tcPr>
          <w:p>
            <w:r>
              <w:rPr>
                <w:sz w:val="17"/>
              </w:rPr>
            </w:r>
          </w:p>
        </w:tc>
        <w:tc>
          <w:tcPr>
            <w:tcW w:type="dxa" w:w="2570"/>
            <w:vAlign w:val="top"/>
          </w:tcPr>
          <w:p>
            <w:r>
              <w:rPr>
                <w:sz w:val="17"/>
              </w:rPr>
            </w:r>
          </w:p>
        </w:tc>
      </w:tr>
      <w:tr>
        <w:tc>
          <w:tcPr>
            <w:tcW w:type="dxa" w:w="2570"/>
            <w:vAlign w:val="top"/>
            <w:shd w:fill="F1F5F8"/>
          </w:tcPr>
          <w:p>
            <w:r>
              <w:rPr>
                <w:sz w:val="17"/>
              </w:rPr>
              <w:t>Active reservations</w:t>
            </w:r>
          </w:p>
        </w:tc>
        <w:tc>
          <w:tcPr>
            <w:tcW w:type="dxa" w:w="2570"/>
            <w:vAlign w:val="top"/>
            <w:shd w:fill="F1F5F8"/>
          </w:tcPr>
          <w:p>
            <w:r>
              <w:rPr>
                <w:sz w:val="17"/>
              </w:rPr>
            </w:r>
          </w:p>
        </w:tc>
        <w:tc>
          <w:tcPr>
            <w:tcW w:type="dxa" w:w="2570"/>
            <w:vAlign w:val="top"/>
            <w:shd w:fill="F1F5F8"/>
          </w:tcPr>
          <w:p>
            <w:r>
              <w:rPr>
                <w:sz w:val="17"/>
              </w:rPr>
            </w:r>
          </w:p>
        </w:tc>
        <w:tc>
          <w:tcPr>
            <w:tcW w:type="dxa" w:w="2570"/>
            <w:vAlign w:val="top"/>
            <w:shd w:fill="F1F5F8"/>
          </w:tcPr>
          <w:p>
            <w:r>
              <w:rPr>
                <w:sz w:val="17"/>
              </w:rPr>
            </w:r>
          </w:p>
        </w:tc>
      </w:tr>
      <w:tr>
        <w:tc>
          <w:tcPr>
            <w:tcW w:type="dxa" w:w="2570"/>
            <w:vAlign w:val="top"/>
          </w:tcPr>
          <w:p>
            <w:r>
              <w:rPr>
                <w:sz w:val="17"/>
              </w:rPr>
              <w:t>Reservation revenue held</w:t>
            </w:r>
          </w:p>
        </w:tc>
        <w:tc>
          <w:tcPr>
            <w:tcW w:type="dxa" w:w="2570"/>
            <w:vAlign w:val="top"/>
          </w:tcPr>
          <w:p>
            <w:r>
              <w:rPr>
                <w:sz w:val="17"/>
              </w:rPr>
            </w:r>
          </w:p>
        </w:tc>
        <w:tc>
          <w:tcPr>
            <w:tcW w:type="dxa" w:w="2570"/>
            <w:vAlign w:val="top"/>
          </w:tcPr>
          <w:p>
            <w:r>
              <w:rPr>
                <w:sz w:val="17"/>
              </w:rPr>
            </w:r>
          </w:p>
        </w:tc>
        <w:tc>
          <w:tcPr>
            <w:tcW w:type="dxa" w:w="2570"/>
            <w:vAlign w:val="top"/>
          </w:tcPr>
          <w:p>
            <w:r>
              <w:rPr>
                <w:sz w:val="17"/>
              </w:rPr>
            </w:r>
          </w:p>
        </w:tc>
      </w:tr>
      <w:tr>
        <w:tc>
          <w:tcPr>
            <w:tcW w:type="dxa" w:w="2570"/>
            <w:vAlign w:val="top"/>
            <w:shd w:fill="F1F5F8"/>
          </w:tcPr>
          <w:p>
            <w:r>
              <w:rPr>
                <w:sz w:val="17"/>
              </w:rPr>
              <w:t>Acquisition spend</w:t>
            </w:r>
          </w:p>
        </w:tc>
        <w:tc>
          <w:tcPr>
            <w:tcW w:type="dxa" w:w="2570"/>
            <w:vAlign w:val="top"/>
            <w:shd w:fill="F1F5F8"/>
          </w:tcPr>
          <w:p>
            <w:r>
              <w:rPr>
                <w:sz w:val="17"/>
              </w:rPr>
            </w:r>
          </w:p>
        </w:tc>
        <w:tc>
          <w:tcPr>
            <w:tcW w:type="dxa" w:w="2570"/>
            <w:vAlign w:val="top"/>
            <w:shd w:fill="F1F5F8"/>
          </w:tcPr>
          <w:p>
            <w:r>
              <w:rPr>
                <w:sz w:val="17"/>
              </w:rPr>
            </w:r>
          </w:p>
        </w:tc>
        <w:tc>
          <w:tcPr>
            <w:tcW w:type="dxa" w:w="2570"/>
            <w:vAlign w:val="top"/>
            <w:shd w:fill="F1F5F8"/>
          </w:tcPr>
          <w:p>
            <w:r>
              <w:rPr>
                <w:sz w:val="17"/>
              </w:rPr>
            </w:r>
          </w:p>
        </w:tc>
      </w:tr>
      <w:tr>
        <w:tc>
          <w:tcPr>
            <w:tcW w:type="dxa" w:w="2570"/>
            <w:vAlign w:val="top"/>
          </w:tcPr>
          <w:p>
            <w:r>
              <w:rPr>
                <w:sz w:val="17"/>
              </w:rPr>
              <w:t>CAC / active reservation</w:t>
            </w:r>
          </w:p>
        </w:tc>
        <w:tc>
          <w:tcPr>
            <w:tcW w:type="dxa" w:w="2570"/>
            <w:vAlign w:val="top"/>
          </w:tcPr>
          <w:p>
            <w:r>
              <w:rPr>
                <w:sz w:val="17"/>
              </w:rPr>
            </w:r>
          </w:p>
        </w:tc>
        <w:tc>
          <w:tcPr>
            <w:tcW w:type="dxa" w:w="2570"/>
            <w:vAlign w:val="top"/>
          </w:tcPr>
          <w:p>
            <w:r>
              <w:rPr>
                <w:sz w:val="17"/>
              </w:rPr>
            </w:r>
          </w:p>
        </w:tc>
        <w:tc>
          <w:tcPr>
            <w:tcW w:type="dxa" w:w="2570"/>
            <w:vAlign w:val="top"/>
          </w:tcPr>
          <w:p>
            <w:r>
              <w:rPr>
                <w:sz w:val="17"/>
              </w:rPr>
            </w:r>
          </w:p>
        </w:tc>
      </w:tr>
      <w:tr>
        <w:tc>
          <w:tcPr>
            <w:tcW w:type="dxa" w:w="2570"/>
            <w:vAlign w:val="top"/>
            <w:shd w:fill="F1F5F8"/>
          </w:tcPr>
          <w:p>
            <w:r>
              <w:rPr>
                <w:sz w:val="17"/>
              </w:rPr>
              <w:t>Signed contracts</w:t>
            </w:r>
          </w:p>
        </w:tc>
        <w:tc>
          <w:tcPr>
            <w:tcW w:type="dxa" w:w="2570"/>
            <w:vAlign w:val="top"/>
            <w:shd w:fill="F1F5F8"/>
          </w:tcPr>
          <w:p>
            <w:r>
              <w:rPr>
                <w:sz w:val="17"/>
              </w:rPr>
            </w:r>
          </w:p>
        </w:tc>
        <w:tc>
          <w:tcPr>
            <w:tcW w:type="dxa" w:w="2570"/>
            <w:vAlign w:val="top"/>
            <w:shd w:fill="F1F5F8"/>
          </w:tcPr>
          <w:p>
            <w:r>
              <w:rPr>
                <w:sz w:val="17"/>
              </w:rPr>
            </w:r>
          </w:p>
        </w:tc>
        <w:tc>
          <w:tcPr>
            <w:tcW w:type="dxa" w:w="2570"/>
            <w:vAlign w:val="top"/>
            <w:shd w:fill="F1F5F8"/>
          </w:tcPr>
          <w:p>
            <w:r>
              <w:rPr>
                <w:sz w:val="17"/>
              </w:rPr>
            </w:r>
          </w:p>
        </w:tc>
      </w:tr>
      <w:tr>
        <w:tc>
          <w:tcPr>
            <w:tcW w:type="dxa" w:w="2570"/>
            <w:vAlign w:val="top"/>
          </w:tcPr>
          <w:p>
            <w:r>
              <w:rPr>
                <w:sz w:val="17"/>
              </w:rPr>
              <w:t>Signed-family CAC</w:t>
            </w:r>
          </w:p>
        </w:tc>
        <w:tc>
          <w:tcPr>
            <w:tcW w:type="dxa" w:w="2570"/>
            <w:vAlign w:val="top"/>
          </w:tcPr>
          <w:p>
            <w:r>
              <w:rPr>
                <w:sz w:val="17"/>
              </w:rPr>
            </w:r>
          </w:p>
        </w:tc>
        <w:tc>
          <w:tcPr>
            <w:tcW w:type="dxa" w:w="2570"/>
            <w:vAlign w:val="top"/>
          </w:tcPr>
          <w:p>
            <w:r>
              <w:rPr>
                <w:sz w:val="17"/>
              </w:rPr>
            </w:r>
          </w:p>
        </w:tc>
        <w:tc>
          <w:tcPr>
            <w:tcW w:type="dxa" w:w="2570"/>
            <w:vAlign w:val="top"/>
          </w:tcPr>
          <w:p>
            <w:r>
              <w:rPr>
                <w:sz w:val="17"/>
              </w:rPr>
            </w:r>
          </w:p>
        </w:tc>
      </w:tr>
      <w:tr>
        <w:tc>
          <w:tcPr>
            <w:tcW w:type="dxa" w:w="2570"/>
            <w:vAlign w:val="top"/>
            <w:shd w:fill="F1F5F8"/>
          </w:tcPr>
          <w:p>
            <w:r>
              <w:rPr>
                <w:sz w:val="17"/>
              </w:rPr>
              <w:t>Family of 3 / family of 4 mix</w:t>
            </w:r>
          </w:p>
        </w:tc>
        <w:tc>
          <w:tcPr>
            <w:tcW w:type="dxa" w:w="2570"/>
            <w:vAlign w:val="top"/>
            <w:shd w:fill="F1F5F8"/>
          </w:tcPr>
          <w:p>
            <w:r>
              <w:rPr>
                <w:sz w:val="17"/>
              </w:rPr>
            </w:r>
          </w:p>
        </w:tc>
        <w:tc>
          <w:tcPr>
            <w:tcW w:type="dxa" w:w="2570"/>
            <w:vAlign w:val="top"/>
            <w:shd w:fill="F1F5F8"/>
          </w:tcPr>
          <w:p>
            <w:r>
              <w:rPr>
                <w:sz w:val="17"/>
              </w:rPr>
            </w:r>
          </w:p>
        </w:tc>
        <w:tc>
          <w:tcPr>
            <w:tcW w:type="dxa" w:w="2570"/>
            <w:vAlign w:val="top"/>
            <w:shd w:fill="F1F5F8"/>
          </w:tcPr>
          <w:p>
            <w:r>
              <w:rPr>
                <w:sz w:val="17"/>
              </w:rPr>
            </w:r>
          </w:p>
        </w:tc>
      </w:tr>
      <w:tr>
        <w:tc>
          <w:tcPr>
            <w:tcW w:type="dxa" w:w="2570"/>
            <w:vAlign w:val="top"/>
          </w:tcPr>
          <w:p>
            <w:r>
              <w:rPr>
                <w:sz w:val="17"/>
              </w:rPr>
              <w:t>Child count / ages</w:t>
            </w:r>
          </w:p>
        </w:tc>
        <w:tc>
          <w:tcPr>
            <w:tcW w:type="dxa" w:w="2570"/>
            <w:vAlign w:val="top"/>
          </w:tcPr>
          <w:p>
            <w:r>
              <w:rPr>
                <w:sz w:val="17"/>
              </w:rPr>
            </w:r>
          </w:p>
        </w:tc>
        <w:tc>
          <w:tcPr>
            <w:tcW w:type="dxa" w:w="2570"/>
            <w:vAlign w:val="top"/>
          </w:tcPr>
          <w:p>
            <w:r>
              <w:rPr>
                <w:sz w:val="17"/>
              </w:rPr>
            </w:r>
          </w:p>
        </w:tc>
        <w:tc>
          <w:tcPr>
            <w:tcW w:type="dxa" w:w="2570"/>
            <w:vAlign w:val="top"/>
          </w:tcPr>
          <w:p>
            <w:r>
              <w:rPr>
                <w:sz w:val="17"/>
              </w:rPr>
            </w:r>
          </w:p>
        </w:tc>
      </w:tr>
      <w:tr>
        <w:tc>
          <w:tcPr>
            <w:tcW w:type="dxa" w:w="2570"/>
            <w:vAlign w:val="top"/>
            <w:shd w:fill="F1F5F8"/>
          </w:tcPr>
          <w:p>
            <w:r>
              <w:rPr>
                <w:sz w:val="17"/>
              </w:rPr>
              <w:t>Time-zone mix</w:t>
            </w:r>
          </w:p>
        </w:tc>
        <w:tc>
          <w:tcPr>
            <w:tcW w:type="dxa" w:w="2570"/>
            <w:vAlign w:val="top"/>
            <w:shd w:fill="F1F5F8"/>
          </w:tcPr>
          <w:p>
            <w:r>
              <w:rPr>
                <w:sz w:val="17"/>
              </w:rPr>
            </w:r>
          </w:p>
        </w:tc>
        <w:tc>
          <w:tcPr>
            <w:tcW w:type="dxa" w:w="2570"/>
            <w:vAlign w:val="top"/>
            <w:shd w:fill="F1F5F8"/>
          </w:tcPr>
          <w:p>
            <w:r>
              <w:rPr>
                <w:sz w:val="17"/>
              </w:rPr>
            </w:r>
          </w:p>
        </w:tc>
        <w:tc>
          <w:tcPr>
            <w:tcW w:type="dxa" w:w="2570"/>
            <w:vAlign w:val="top"/>
            <w:shd w:fill="F1F5F8"/>
          </w:tcPr>
          <w:p>
            <w:r>
              <w:rPr>
                <w:sz w:val="17"/>
              </w:rPr>
            </w:r>
          </w:p>
        </w:tc>
      </w:tr>
    </w:tbl>
    <w:p/>
    <w:p>
      <w:pPr>
        <w:pStyle w:val="Heading1"/>
      </w:pPr>
      <w:r>
        <w:t>Stop rules</w:t>
      </w:r>
    </w:p>
    <w:p>
      <w:pPr>
        <w:pStyle w:val="ListBullet"/>
      </w:pPr>
      <w:r>
        <w:t>No paid launch if legal/MoR gate is open.</w:t>
      </w:r>
    </w:p>
    <w:p>
      <w:pPr>
        <w:pStyle w:val="ListBullet"/>
      </w:pPr>
      <w:r>
        <w:t>Stop counting a reservation immediately when refund is requested.</w:t>
      </w:r>
    </w:p>
    <w:p>
      <w:pPr>
        <w:pStyle w:val="ListBullet"/>
      </w:pPr>
      <w:r>
        <w:t>No extension of the test merely to manufacture the threshold.</w:t>
      </w:r>
    </w:p>
    <w:p>
      <w:pPr>
        <w:pStyle w:val="ListBullet"/>
      </w:pPr>
      <w:r>
        <w:t>No conversion to nonrefundable terms until exact city, supplier stack, housing standards and contract are disclosed.</w:t>
      </w:r>
    </w:p>
    <w:p>
      <w:pPr>
        <w:pStyle w:val="ListBullet"/>
      </w:pPr>
      <w:r>
        <w:t>No material supplier deposit based on free interest.</w:t>
      </w:r>
    </w:p>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 xml:space="preserve">Research snapshot: 14 August 2026 | Public discovery only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pPr>
    <w:r>
      <w:t>European Family Summer Camp — Paid Reservation Validation Protocol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Aptos" w:hAnsi="Aptos"/>
      <w:b/>
      <w:bCs/>
      <w:color w:val="1B3959"/>
      <w:sz w:val="34"/>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ptos" w:hAnsi="Aptos"/>
      <w:b/>
      <w:bCs/>
      <w:color w:val="1C767D"/>
      <w:sz w:val="26"/>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Aptos" w:hAnsi="Aptos"/>
      <w:b/>
      <w:bCs/>
      <w:color w:val="1B395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80"/>
      <w:contextualSpacing/>
    </w:pPr>
    <w:rPr>
      <w:rFonts w:asciiTheme="majorHAnsi" w:eastAsiaTheme="majorEastAsia" w:hAnsiTheme="majorHAnsi" w:cstheme="majorBidi" w:ascii="Aptos Display" w:hAnsi="Aptos Display"/>
      <w:color w:val="1B3959"/>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ptos" w:hAnsi="Aptos"/>
      <w:color w:val="50505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