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European Family Summer Camp — Evidence-Based Founder Feasibility Report</w:t>
      </w:r>
    </w:p>
    <w:p>
      <w:pPr>
        <w:jc w:val="center"/>
      </w:pPr>
      <w:r>
        <w:rPr>
          <w:color w:val="1C767D"/>
          <w:sz w:val="28"/>
        </w:rPr>
        <w:t>Supplier discovery, two-city bake-off, economics, legal architecture, and paid-demand validation</w:t>
      </w:r>
    </w:p>
    <w:p/>
    <w:p>
      <w:pPr>
        <w:pStyle w:val="SmallNote"/>
        <w:jc w:val="center"/>
      </w:pPr>
      <w:r>
        <w:t>Prepared from independently checkable public sources. No supplier inquiry, reservation, contract, booking, payment, or private-account access occurred.</w:t>
      </w:r>
    </w:p>
    <w:p>
      <w:r>
        <w:br w:type="page"/>
      </w:r>
    </w:p>
    <w:p>
      <w:pPr>
        <w:pStyle w:val="Heading1"/>
      </w:pPr>
      <w:r>
        <w:t>Executive decision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82"/>
      </w:tblGrid>
      <w:tr>
        <w:tc>
          <w:tcPr>
            <w:tcW w:type="dxa" w:w="10282"/>
            <w:shd w:fill="FFF2CC"/>
          </w:tcPr>
          <w:p>
            <w:r>
              <w:rPr>
                <w:b/>
                <w:color w:val="1B3959"/>
              </w:rPr>
              <w:t>Decision: CONDITIONAL BUILD</w:t>
            </w:r>
            <w:r>
              <w:br/>
              <w:t>Do not select a city or collect customer money yet. Run a same-scope written-bid bake-off between the Cascais–Oeiras coast and Porto–Foz–Matosinhos. Porto is the current economic leader; Cascais is the current premium-brand leader. Launch only if legal, supplier, insurance, inventory and paid-demand gates all pass.</w:t>
            </w:r>
          </w:p>
        </w:tc>
      </w:tr>
    </w:tbl>
    <w:p/>
    <w:p>
      <w:r>
        <w:t>The business is plausible, but the proposed late-hours child program is not an off-the-shelf Portuguese camp product. Public camps establish operator supply, retail price anchors, ages and normal hours; none found publishes the proposed 21:30 weekday finish. That gap is the product differentiator and the central execution risk.</w:t>
      </w:r>
    </w:p>
    <w:p>
      <w:pPr>
        <w:pStyle w:val="ListBullet"/>
      </w:pPr>
      <w:r>
        <w:rPr>
          <w:b/>
        </w:rPr>
        <w:t xml:space="preserve">Launch window: </w:t>
      </w:r>
      <w:r>
        <w:t>4 July–1 August 2027; camp 5–30 July. The July start avoids relying on local primary-school availability before the official 30 June 2027 term end. [S05]</w:t>
      </w:r>
    </w:p>
    <w:p>
      <w:pPr>
        <w:pStyle w:val="ListBullet"/>
      </w:pPr>
      <w:r>
        <w:rPr>
          <w:b/>
        </w:rPr>
        <w:t xml:space="preserve">MVP: </w:t>
      </w:r>
      <w:r>
        <w:t>18 families, approximately 30 children, ages 6–12, four weeks.</w:t>
      </w:r>
    </w:p>
    <w:p>
      <w:pPr>
        <w:pStyle w:val="ListBullet"/>
      </w:pPr>
      <w:r>
        <w:rPr>
          <w:b/>
        </w:rPr>
        <w:t xml:space="preserve">Child schedule: </w:t>
      </w:r>
      <w:r>
        <w:t>Monday–Thursday 13:30–21:30; Friday 13:30–18:30, with optional late Friday care priced separately.</w:t>
      </w:r>
    </w:p>
    <w:p>
      <w:pPr>
        <w:pStyle w:val="ListBullet"/>
      </w:pPr>
      <w:r>
        <w:rPr>
          <w:b/>
        </w:rPr>
        <w:t xml:space="preserve">Operating model: </w:t>
      </w:r>
      <w:r>
        <w:t>Portuguese RNAVT organizer/merchant of record + IPDJ-registered camp operator + licensed/insured specialist vendors; U.S. brand owns positioning and community.</w:t>
      </w:r>
    </w:p>
    <w:p>
      <w:pPr>
        <w:pStyle w:val="ListBullet"/>
      </w:pPr>
      <w:r>
        <w:rPr>
          <w:b/>
        </w:rPr>
        <w:t xml:space="preserve">Demand proof: </w:t>
      </w:r>
      <w:r>
        <w:t>Paid, fully refundable €250 priority reservations held by a compliant merchant of record. Free waitlists, likes, DMs and Instagram interest do not count.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126480" cy="343082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rgin_threshold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4308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What changed after replacing assumptions with public evidence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27"/>
        <w:gridCol w:w="3427"/>
        <w:gridCol w:w="3427"/>
      </w:tblGrid>
      <w:tr>
        <w:tc>
          <w:tcPr>
            <w:tcW w:type="dxa" w:w="3427"/>
            <w:shd w:fill="1C767D"/>
          </w:tcPr>
          <w:p>
            <w:r>
              <w:rPr>
                <w:b/>
                <w:color w:val="FFFFFF"/>
                <w:sz w:val="16"/>
              </w:rPr>
              <w:t>Earlier premise</w:t>
            </w:r>
          </w:p>
        </w:tc>
        <w:tc>
          <w:tcPr>
            <w:tcW w:type="dxa" w:w="3427"/>
            <w:shd w:fill="1C767D"/>
          </w:tcPr>
          <w:p>
            <w:r>
              <w:rPr>
                <w:b/>
                <w:color w:val="FFFFFF"/>
                <w:sz w:val="16"/>
              </w:rPr>
              <w:t>Public discovery finding</w:t>
            </w:r>
          </w:p>
        </w:tc>
        <w:tc>
          <w:tcPr>
            <w:tcW w:type="dxa" w:w="3427"/>
            <w:shd w:fill="1C767D"/>
          </w:tcPr>
          <w:p>
            <w:r>
              <w:rPr>
                <w:b/>
                <w:color w:val="FFFFFF"/>
                <w:sz w:val="16"/>
              </w:rPr>
              <w:t>Revised decision</w:t>
            </w:r>
          </w:p>
        </w:tc>
      </w:tr>
      <w:tr>
        <w:tc>
          <w:tcPr>
            <w:tcW w:type="dxa" w:w="3427"/>
            <w:vAlign w:val="top"/>
          </w:tcPr>
          <w:p>
            <w:r>
              <w:rPr>
                <w:sz w:val="16"/>
              </w:rPr>
              <w:t>Cascais as predetermined launch city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6"/>
              </w:rPr>
              <w:t>Central/high-season Cascais retail housing can be far above viable unit economics; Porto has materially lower public 2BR anchors and several group-oriented operators.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6"/>
              </w:rPr>
              <w:t>Run Cascais and Porto as equal RFP tracks.</w:t>
            </w:r>
          </w:p>
        </w:tc>
      </w:tr>
      <w:tr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Late camp treated like a normal supplier quote</w:t>
            </w:r>
          </w:p>
        </w:tc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Public camps generally finish around 16:00–18:30. No public equivalent to 21:30 was found.</w:t>
            </w:r>
          </w:p>
        </w:tc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Price the late program bottom-up, then replace it with a custom IPDJ-operator bid.</w:t>
            </w:r>
          </w:p>
        </w:tc>
      </w:tr>
      <w:tr>
        <w:tc>
          <w:tcPr>
            <w:tcW w:type="dxa" w:w="3427"/>
            <w:vAlign w:val="top"/>
          </w:tcPr>
          <w:p>
            <w:r>
              <w:rPr>
                <w:sz w:val="16"/>
              </w:rPr>
              <w:t>Late-June start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6"/>
              </w:rPr>
              <w:t>Portuguese public preschool and first-cycle classes run through 30 June 2027.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6"/>
              </w:rPr>
              <w:t>Start 4 July; camp starts 5 July.</w:t>
            </w:r>
          </w:p>
        </w:tc>
      </w:tr>
      <w:tr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Single-apartment listings prove housing</w:t>
            </w:r>
          </w:p>
        </w:tc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They prove only price points, not 18 units, cluster geography, cancellation terms or July 2027 availability.</w:t>
            </w:r>
          </w:p>
        </w:tc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Require a unit-by-unit written inventory matrix.</w:t>
            </w:r>
          </w:p>
        </w:tc>
      </w:tr>
      <w:tr>
        <w:tc>
          <w:tcPr>
            <w:tcW w:type="dxa" w:w="3427"/>
            <w:vAlign w:val="top"/>
          </w:tcPr>
          <w:p>
            <w:r>
              <w:rPr>
                <w:sz w:val="16"/>
              </w:rPr>
              <w:t>Category interest proves demand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6"/>
              </w:rPr>
              <w:t>Market statistics establish a plausible audience, not willingness to pay €13.9k–€15.4k.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6"/>
              </w:rPr>
              <w:t>Use paid/refundable reservations and signed contracts.</w:t>
            </w:r>
          </w:p>
        </w:tc>
      </w:tr>
      <w:tr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Brand can accept deposits directly</w:t>
            </w:r>
          </w:p>
        </w:tc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Bundling housing, camp and activities is package-travel sensitive; U.S. seller-of-travel rules can also matter.</w:t>
            </w:r>
          </w:p>
        </w:tc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No money until fixed-scope Portuguese and U.S. legal review clears fund flow.</w:t>
            </w:r>
          </w:p>
        </w:tc>
      </w:tr>
    </w:tbl>
    <w:p/>
    <w:p>
      <w:pPr>
        <w:pStyle w:val="Heading1"/>
      </w:pPr>
      <w:r>
        <w:t>Evidence standard</w:t>
      </w:r>
    </w:p>
    <w:p>
      <w:r>
        <w:t>Every material input in the financial model is labeled using the following hierarchy: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27"/>
        <w:gridCol w:w="3427"/>
        <w:gridCol w:w="3427"/>
      </w:tblGrid>
      <w:tr>
        <w:tc>
          <w:tcPr>
            <w:tcW w:type="dxa" w:w="3427"/>
            <w:shd w:fill="1C767D"/>
          </w:tcPr>
          <w:p>
            <w:r>
              <w:rPr>
                <w:b/>
                <w:color w:val="FFFFFF"/>
                <w:sz w:val="16"/>
              </w:rPr>
              <w:t>Class</w:t>
            </w:r>
          </w:p>
        </w:tc>
        <w:tc>
          <w:tcPr>
            <w:tcW w:type="dxa" w:w="3427"/>
            <w:shd w:fill="1C767D"/>
          </w:tcPr>
          <w:p>
            <w:r>
              <w:rPr>
                <w:b/>
                <w:color w:val="FFFFFF"/>
                <w:sz w:val="16"/>
              </w:rPr>
              <w:t>Meaning</w:t>
            </w:r>
          </w:p>
        </w:tc>
        <w:tc>
          <w:tcPr>
            <w:tcW w:type="dxa" w:w="3427"/>
            <w:shd w:fill="1C767D"/>
          </w:tcPr>
          <w:p>
            <w:r>
              <w:rPr>
                <w:b/>
                <w:color w:val="FFFFFF"/>
                <w:sz w:val="16"/>
              </w:rPr>
              <w:t>Permitted use</w:t>
            </w:r>
          </w:p>
        </w:tc>
      </w:tr>
      <w:tr>
        <w:tc>
          <w:tcPr>
            <w:tcW w:type="dxa" w:w="3427"/>
            <w:vAlign w:val="top"/>
          </w:tcPr>
          <w:p>
            <w:r>
              <w:rPr>
                <w:sz w:val="16"/>
              </w:rPr>
              <w:t>Observed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6"/>
              </w:rPr>
              <w:t>Official law/registry or a public supplier price, schedule, capacity statement or listing.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6"/>
              </w:rPr>
              <w:t>Can establish existence, legal requirements and a price anchor. It does not establish 2027 availability or negotiated group terms.</w:t>
            </w:r>
          </w:p>
        </w:tc>
      </w:tr>
      <w:tr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Derived</w:t>
            </w:r>
          </w:p>
        </w:tc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Arithmetic built from observed facts, such as staffing ratios, hours, public wages or scenario formulas.</w:t>
            </w:r>
          </w:p>
        </w:tc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May support a bounded planning range; must be replaced by a written bid before commitment.</w:t>
            </w:r>
          </w:p>
        </w:tc>
      </w:tr>
      <w:tr>
        <w:tc>
          <w:tcPr>
            <w:tcW w:type="dxa" w:w="3427"/>
            <w:vAlign w:val="top"/>
          </w:tcPr>
          <w:p>
            <w:r>
              <w:rPr>
                <w:sz w:val="16"/>
              </w:rPr>
              <w:t>Estimate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6"/>
              </w:rPr>
              <w:t>A reasoned range where no exact public analogue exists.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6"/>
              </w:rPr>
              <w:t>Only acceptable with a hard cap and an identified proof step.</w:t>
            </w:r>
          </w:p>
        </w:tc>
      </w:tr>
      <w:tr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Unknown</w:t>
            </w:r>
          </w:p>
        </w:tc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No reliable public evidence for the exact fact pattern.</w:t>
            </w:r>
          </w:p>
        </w:tc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Must be resolved before the applicable gate.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82"/>
      </w:tblGrid>
      <w:tr>
        <w:tc>
          <w:tcPr>
            <w:tcW w:type="dxa" w:w="10282"/>
            <w:shd w:fill="FFF2CC"/>
          </w:tcPr>
          <w:p>
            <w:r>
              <w:rPr>
                <w:b/>
                <w:color w:val="1B3959"/>
              </w:rPr>
              <w:t>Critical limitation</w:t>
            </w:r>
            <w:r>
              <w:br/>
              <w:t>Public discovery can identify capable-looking suppliers and defensible ranges. It cannot verify July 2027 inventory, commercial appetite, custom late-hours delivery, final insurance exclusions, tax treatment or contract enforceability.</w:t>
            </w:r>
          </w:p>
        </w:tc>
      </w:tr>
    </w:tbl>
    <w:p/>
    <w:p>
      <w:pPr>
        <w:pStyle w:val="Heading1"/>
      </w:pPr>
      <w:r>
        <w:t>Product definition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41"/>
        <w:gridCol w:w="5141"/>
      </w:tblGrid>
      <w:tr>
        <w:tc>
          <w:tcPr>
            <w:tcW w:type="dxa" w:w="5141"/>
            <w:shd w:fill="1C767D"/>
          </w:tcPr>
          <w:p>
            <w:r>
              <w:rPr>
                <w:b/>
                <w:color w:val="FFFFFF"/>
                <w:sz w:val="17"/>
              </w:rPr>
              <w:t>Element</w:t>
            </w:r>
          </w:p>
        </w:tc>
        <w:tc>
          <w:tcPr>
            <w:tcW w:type="dxa" w:w="5141"/>
            <w:shd w:fill="1C767D"/>
          </w:tcPr>
          <w:p>
            <w:r>
              <w:rPr>
                <w:b/>
                <w:color w:val="FFFFFF"/>
                <w:sz w:val="17"/>
              </w:rPr>
              <w:t>Founding product</w:t>
            </w:r>
          </w:p>
        </w:tc>
      </w:tr>
      <w:tr>
        <w:tc>
          <w:tcPr>
            <w:tcW w:type="dxa" w:w="5141"/>
            <w:vAlign w:val="top"/>
          </w:tcPr>
          <w:p>
            <w:r>
              <w:rPr>
                <w:sz w:val="17"/>
              </w:rPr>
              <w:t>Dates</w:t>
            </w:r>
          </w:p>
        </w:tc>
        <w:tc>
          <w:tcPr>
            <w:tcW w:type="dxa" w:w="5141"/>
            <w:vAlign w:val="top"/>
          </w:tcPr>
          <w:p>
            <w:r>
              <w:rPr>
                <w:sz w:val="17"/>
              </w:rPr>
              <w:t>Arrival Sunday 4 July 2027; camp Monday 5 July–Friday 30 July; departure Sunday 1 August.</w:t>
            </w:r>
          </w:p>
        </w:tc>
      </w:tr>
      <w:tr>
        <w:tc>
          <w:tcPr>
            <w:tcW w:type="dxa" w:w="5141"/>
            <w:vAlign w:val="top"/>
            <w:shd w:fill="F1F5F8"/>
          </w:tcPr>
          <w:p>
            <w:r>
              <w:rPr>
                <w:sz w:val="17"/>
              </w:rPr>
              <w:t>Families</w:t>
            </w:r>
          </w:p>
        </w:tc>
        <w:tc>
          <w:tcPr>
            <w:tcW w:type="dxa" w:w="5141"/>
            <w:vAlign w:val="top"/>
            <w:shd w:fill="F1F5F8"/>
          </w:tcPr>
          <w:p>
            <w:r>
              <w:rPr>
                <w:sz w:val="17"/>
              </w:rPr>
              <w:t>18 target; 15 signed-family absolute launch floor.</w:t>
            </w:r>
          </w:p>
        </w:tc>
      </w:tr>
      <w:tr>
        <w:tc>
          <w:tcPr>
            <w:tcW w:type="dxa" w:w="5141"/>
            <w:vAlign w:val="top"/>
          </w:tcPr>
          <w:p>
            <w:r>
              <w:rPr>
                <w:sz w:val="17"/>
              </w:rPr>
              <w:t>Children</w:t>
            </w:r>
          </w:p>
        </w:tc>
        <w:tc>
          <w:tcPr>
            <w:tcW w:type="dxa" w:w="5141"/>
            <w:vAlign w:val="top"/>
          </w:tcPr>
          <w:p>
            <w:r>
              <w:rPr>
                <w:sz w:val="17"/>
              </w:rPr>
              <w:t>Approximately 30; ages 6–12 only in year one.</w:t>
            </w:r>
          </w:p>
        </w:tc>
      </w:tr>
      <w:tr>
        <w:tc>
          <w:tcPr>
            <w:tcW w:type="dxa" w:w="5141"/>
            <w:vAlign w:val="top"/>
            <w:shd w:fill="F1F5F8"/>
          </w:tcPr>
          <w:p>
            <w:r>
              <w:rPr>
                <w:sz w:val="17"/>
              </w:rPr>
              <w:t>Core hours</w:t>
            </w:r>
          </w:p>
        </w:tc>
        <w:tc>
          <w:tcPr>
            <w:tcW w:type="dxa" w:w="5141"/>
            <w:vAlign w:val="top"/>
            <w:shd w:fill="F1F5F8"/>
          </w:tcPr>
          <w:p>
            <w:r>
              <w:rPr>
                <w:sz w:val="17"/>
              </w:rPr>
              <w:t>Mon–Thu 13:30–21:30; Fri 13:30–18:30.</w:t>
            </w:r>
          </w:p>
        </w:tc>
      </w:tr>
      <w:tr>
        <w:tc>
          <w:tcPr>
            <w:tcW w:type="dxa" w:w="5141"/>
            <w:vAlign w:val="top"/>
          </w:tcPr>
          <w:p>
            <w:r>
              <w:rPr>
                <w:sz w:val="17"/>
              </w:rPr>
              <w:t>Meals</w:t>
            </w:r>
          </w:p>
        </w:tc>
        <w:tc>
          <w:tcPr>
            <w:tcW w:type="dxa" w:w="5141"/>
            <w:vAlign w:val="top"/>
          </w:tcPr>
          <w:p>
            <w:r>
              <w:rPr>
                <w:sz w:val="17"/>
              </w:rPr>
              <w:t>Afternoon snack and dinner Mon–Thu; Friday snack and early meal/packed option subject to bid.</w:t>
            </w:r>
          </w:p>
        </w:tc>
      </w:tr>
      <w:tr>
        <w:tc>
          <w:tcPr>
            <w:tcW w:type="dxa" w:w="5141"/>
            <w:vAlign w:val="top"/>
            <w:shd w:fill="F1F5F8"/>
          </w:tcPr>
          <w:p>
            <w:r>
              <w:rPr>
                <w:sz w:val="17"/>
              </w:rPr>
              <w:t>Housing</w:t>
            </w:r>
          </w:p>
        </w:tc>
        <w:tc>
          <w:tcPr>
            <w:tcW w:type="dxa" w:w="5141"/>
            <w:vAlign w:val="top"/>
            <w:shd w:fill="F1F5F8"/>
          </w:tcPr>
          <w:p>
            <w:r>
              <w:rPr>
                <w:sz w:val="17"/>
              </w:rPr>
              <w:t>Independent 2BR family apartments with kitchen, reliable Wi-Fi, child-safe setup, utilities and cleaning included.</w:t>
            </w:r>
          </w:p>
        </w:tc>
      </w:tr>
      <w:tr>
        <w:tc>
          <w:tcPr>
            <w:tcW w:type="dxa" w:w="5141"/>
            <w:vAlign w:val="top"/>
          </w:tcPr>
          <w:p>
            <w:r>
              <w:rPr>
                <w:sz w:val="17"/>
              </w:rPr>
              <w:t>Parents</w:t>
            </w:r>
          </w:p>
        </w:tc>
        <w:tc>
          <w:tcPr>
            <w:tcW w:type="dxa" w:w="5141"/>
            <w:vAlign w:val="top"/>
          </w:tcPr>
          <w:p>
            <w:r>
              <w:rPr>
                <w:sz w:val="17"/>
              </w:rPr>
              <w:t>Optional coworking, two adult/community anchors weekly, local orientation, concierge channel and date-night add-on.</w:t>
            </w:r>
          </w:p>
        </w:tc>
      </w:tr>
      <w:tr>
        <w:tc>
          <w:tcPr>
            <w:tcW w:type="dxa" w:w="5141"/>
            <w:vAlign w:val="top"/>
            <w:shd w:fill="F1F5F8"/>
          </w:tcPr>
          <w:p>
            <w:r>
              <w:rPr>
                <w:sz w:val="17"/>
              </w:rPr>
              <w:t>Families</w:t>
            </w:r>
          </w:p>
        </w:tc>
        <w:tc>
          <w:tcPr>
            <w:tcW w:type="dxa" w:w="5141"/>
            <w:vAlign w:val="top"/>
            <w:shd w:fill="F1F5F8"/>
          </w:tcPr>
          <w:p>
            <w:r>
              <w:rPr>
                <w:sz w:val="17"/>
              </w:rPr>
              <w:t>Opening and closing events, one weekly family activity, curated weekend guides; major weekend excursions optional.</w:t>
            </w:r>
          </w:p>
        </w:tc>
      </w:tr>
      <w:tr>
        <w:tc>
          <w:tcPr>
            <w:tcW w:type="dxa" w:w="5141"/>
            <w:vAlign w:val="top"/>
          </w:tcPr>
          <w:p>
            <w:r>
              <w:rPr>
                <w:sz w:val="17"/>
              </w:rPr>
              <w:t>Customer promise</w:t>
            </w:r>
          </w:p>
        </w:tc>
        <w:tc>
          <w:tcPr>
            <w:tcW w:type="dxa" w:w="5141"/>
            <w:vAlign w:val="top"/>
          </w:tcPr>
          <w:p>
            <w:r>
              <w:rPr>
                <w:sz w:val="17"/>
              </w:rPr>
              <w:t>Live in Portugal for a month while maintaining an Eastern/Central-compatible or flexible U.S. work schedule.</w:t>
            </w:r>
          </w:p>
        </w:tc>
      </w:tr>
    </w:tbl>
    <w:p/>
    <w:p>
      <w:pPr>
        <w:pStyle w:val="Heading2"/>
      </w:pPr>
      <w:r>
        <w:t>Time-zone truth</w:t>
      </w:r>
    </w:p>
    <w:p>
      <w:r>
        <w:t>Portugal summer time is five hours ahead of U.S. Eastern and eight hours ahead of Pacific. The proposed 13:30–21:30 local window corresponds to approximately 08:30–16:30 Eastern and 05:30–13:30 Pacific. A genuine 09:00–17:00 Pacific workday would require childcare to roughly 01:00 local time and is not a credible mass-market camp promise.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82"/>
      </w:tblGrid>
      <w:tr>
        <w:tc>
          <w:tcPr>
            <w:tcW w:type="dxa" w:w="10282"/>
            <w:shd w:fill="FFF2CC"/>
          </w:tcPr>
          <w:p>
            <w:r>
              <w:rPr>
                <w:b/>
                <w:color w:val="1B3959"/>
              </w:rPr>
              <w:t>Defensible positioning</w:t>
            </w:r>
            <w:r>
              <w:br/>
              <w:t>Do not advertise “work your normal U.S. day from Europe” without qualification. Advertise a product for Eastern/Central schedules, flexible founders, asynchronous professionals and families able to shift work earlier.</w:t>
            </w:r>
          </w:p>
        </w:tc>
      </w:tr>
    </w:tbl>
    <w:p/>
    <w:p>
      <w:pPr>
        <w:pStyle w:val="Heading1"/>
      </w:pPr>
      <w:r>
        <w:t>Destination bake-off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70"/>
        <w:gridCol w:w="2570"/>
        <w:gridCol w:w="2570"/>
        <w:gridCol w:w="2570"/>
      </w:tblGrid>
      <w:tr>
        <w:tc>
          <w:tcPr>
            <w:tcW w:type="dxa" w:w="2570"/>
            <w:shd w:fill="1C767D"/>
          </w:tcPr>
          <w:p>
            <w:r>
              <w:rPr>
                <w:b/>
                <w:color w:val="FFFFFF"/>
                <w:sz w:val="16"/>
              </w:rPr>
              <w:t>Destination</w:t>
            </w:r>
          </w:p>
        </w:tc>
        <w:tc>
          <w:tcPr>
            <w:tcW w:type="dxa" w:w="2570"/>
            <w:shd w:fill="1C767D"/>
          </w:tcPr>
          <w:p>
            <w:r>
              <w:rPr>
                <w:b/>
                <w:color w:val="FFFFFF"/>
                <w:sz w:val="16"/>
              </w:rPr>
              <w:t>Weighted score</w:t>
            </w:r>
          </w:p>
        </w:tc>
        <w:tc>
          <w:tcPr>
            <w:tcW w:type="dxa" w:w="2570"/>
            <w:shd w:fill="1C767D"/>
          </w:tcPr>
          <w:p>
            <w:r>
              <w:rPr>
                <w:b/>
                <w:color w:val="FFFFFF"/>
                <w:sz w:val="16"/>
              </w:rPr>
              <w:t>Role</w:t>
            </w:r>
          </w:p>
        </w:tc>
        <w:tc>
          <w:tcPr>
            <w:tcW w:type="dxa" w:w="2570"/>
            <w:shd w:fill="1C767D"/>
          </w:tcPr>
          <w:p>
            <w:r>
              <w:rPr>
                <w:b/>
                <w:color w:val="FFFFFF"/>
                <w:sz w:val="16"/>
              </w:rPr>
              <w:t>Public-evidence interpretation</w:t>
            </w:r>
          </w:p>
        </w:tc>
      </w:tr>
      <w:tr>
        <w:tc>
          <w:tcPr>
            <w:tcW w:type="dxa" w:w="2570"/>
            <w:vAlign w:val="top"/>
          </w:tcPr>
          <w:p>
            <w:r>
              <w:rPr>
                <w:sz w:val="16"/>
              </w:rPr>
              <w:t>Cascais-Oeiras Coast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6"/>
              </w:rPr>
              <w:t>90.0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6"/>
              </w:rPr>
              <w:t>Primary premium RFP track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6"/>
              </w:rPr>
              <w:t>Strongest premium/partner ecosystem; housing cap is the critical risk.</w:t>
            </w:r>
          </w:p>
        </w:tc>
      </w:tr>
      <w:tr>
        <w:tc>
          <w:tcPr>
            <w:tcW w:type="dxa" w:w="2570"/>
            <w:vAlign w:val="top"/>
            <w:shd w:fill="F1F5F8"/>
          </w:tcPr>
          <w:p>
            <w:r>
              <w:rPr>
                <w:sz w:val="16"/>
              </w:rPr>
              <w:t>Porto-Foz-Matosinhos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6"/>
              </w:rPr>
              <w:t>88.7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6"/>
              </w:rPr>
              <w:t>Primary value RFP track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6"/>
              </w:rPr>
              <w:t>Better economics; good public camp and furnished housing supply; premium positioning and clustered scale require bids.</w:t>
            </w:r>
          </w:p>
        </w:tc>
      </w:tr>
      <w:tr>
        <w:tc>
          <w:tcPr>
            <w:tcW w:type="dxa" w:w="2570"/>
            <w:vAlign w:val="top"/>
          </w:tcPr>
          <w:p>
            <w:r>
              <w:rPr>
                <w:sz w:val="16"/>
              </w:rPr>
              <w:t>Valencia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6"/>
              </w:rPr>
              <w:t>82.1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6"/>
              </w:rPr>
              <w:t>Plan C only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6"/>
              </w:rPr>
              <w:t>Excellent camps but one hour worse U.S. overlap and separate Spanish legal stack not yet researched to Portugal depth.</w:t>
            </w:r>
          </w:p>
        </w:tc>
      </w:tr>
      <w:tr>
        <w:tc>
          <w:tcPr>
            <w:tcW w:type="dxa" w:w="2570"/>
            <w:vAlign w:val="top"/>
            <w:shd w:fill="F1F5F8"/>
          </w:tcPr>
          <w:p>
            <w:r>
              <w:rPr>
                <w:sz w:val="16"/>
              </w:rPr>
              <w:t>San Sebastian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6"/>
              </w:rPr>
              <w:t>74.4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6"/>
              </w:rPr>
              <w:t>Premium future cohort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6"/>
              </w:rPr>
              <w:t>Excellent local camp analogue and strong appeal; expensive constrained housing and weaker airport access.</w:t>
            </w:r>
          </w:p>
        </w:tc>
      </w:tr>
    </w:tbl>
    <w:p/>
    <w:p>
      <w:r>
        <w:t>The numerical score is a decision aid, not a fact. Cascais and Porto are close enough that supplier bids and paid price conversion should decide the launch city.</w:t>
      </w:r>
    </w:p>
    <w:p>
      <w:pPr>
        <w:pStyle w:val="Heading2"/>
      </w:pPr>
      <w:r>
        <w:t>Track A — Cascais–Oeiras coast</w:t>
      </w:r>
    </w:p>
    <w:p>
      <w:pPr>
        <w:pStyle w:val="ListBullet"/>
      </w:pPr>
      <w:r>
        <w:rPr>
          <w:b/>
        </w:rPr>
        <w:t xml:space="preserve">Strengths: </w:t>
      </w:r>
      <w:r>
        <w:t>Lisbon airport, coastal identity, international-school/camp supply, established family destination, premium brand fit.</w:t>
      </w:r>
    </w:p>
    <w:p>
      <w:pPr>
        <w:pStyle w:val="ListBullet"/>
      </w:pPr>
      <w:r>
        <w:rPr>
          <w:b/>
        </w:rPr>
        <w:t xml:space="preserve">Weaknesses: </w:t>
      </w:r>
      <w:r>
        <w:t>High-season housing can destroy margin; central Cascais should not be the footprint assumption.</w:t>
      </w:r>
    </w:p>
    <w:p>
      <w:pPr>
        <w:pStyle w:val="ListBullet"/>
      </w:pPr>
      <w:r>
        <w:rPr>
          <w:b/>
        </w:rPr>
        <w:t xml:space="preserve">Procurement zone: </w:t>
      </w:r>
      <w:r>
        <w:t>Cascais, Estoril, Monte Estoril, Parede, Carcavelos and Oeiras, subject to travel-time limits.</w:t>
      </w:r>
    </w:p>
    <w:p>
      <w:pPr>
        <w:pStyle w:val="ListBullet"/>
      </w:pPr>
      <w:r>
        <w:rPr>
          <w:b/>
        </w:rPr>
        <w:t xml:space="preserve">Base housing cap: </w:t>
      </w:r>
      <w:r>
        <w:t>€3,650 average per 28-night family unit; at least 12 units at or below cap; remaining premium units no more than €4,200 absent repricing.</w:t>
      </w:r>
    </w:p>
    <w:p>
      <w:pPr>
        <w:pStyle w:val="ListBullet"/>
      </w:pPr>
      <w:r>
        <w:rPr>
          <w:b/>
        </w:rPr>
        <w:t xml:space="preserve">Custom camp cap: </w:t>
      </w:r>
      <w:r>
        <w:t>€1,600 per child all-in for the required hours, meals, insurance and core activities.</w:t>
      </w:r>
    </w:p>
    <w:p>
      <w:pPr>
        <w:pStyle w:val="SmallNote"/>
      </w:pPr>
      <w:r>
        <w:t>Public evidence: [S13–S24, S57–S60, S71, S74, S85]</w:t>
      </w:r>
    </w:p>
    <w:p>
      <w:pPr>
        <w:pStyle w:val="Heading2"/>
      </w:pPr>
      <w:r>
        <w:t>Track B — Porto–Foz–Matosinhos</w:t>
      </w:r>
    </w:p>
    <w:p>
      <w:pPr>
        <w:pStyle w:val="ListBullet"/>
      </w:pPr>
      <w:r>
        <w:rPr>
          <w:b/>
        </w:rPr>
        <w:t xml:space="preserve">Strengths: </w:t>
      </w:r>
      <w:r>
        <w:t>Lower public furnished-housing anchors, credible university/English/surf camp supply, Atlantic coast, airport/metro access, stronger base economics.</w:t>
      </w:r>
    </w:p>
    <w:p>
      <w:pPr>
        <w:pStyle w:val="ListBullet"/>
      </w:pPr>
      <w:r>
        <w:rPr>
          <w:b/>
        </w:rPr>
        <w:t xml:space="preserve">Weaknesses: </w:t>
      </w:r>
      <w:r>
        <w:t>Premium positioning and clustered family inventory need proof; camp and housing may be geographically dispersed.</w:t>
      </w:r>
    </w:p>
    <w:p>
      <w:pPr>
        <w:pStyle w:val="ListBullet"/>
      </w:pPr>
      <w:r>
        <w:rPr>
          <w:b/>
        </w:rPr>
        <w:t xml:space="preserve">Procurement zone: </w:t>
      </w:r>
      <w:r>
        <w:t>Porto centre/Boavista/Foz, Matosinhos and Leça da Palmeira, with a transport plan.</w:t>
      </w:r>
    </w:p>
    <w:p>
      <w:pPr>
        <w:pStyle w:val="ListBullet"/>
      </w:pPr>
      <w:r>
        <w:rPr>
          <w:b/>
        </w:rPr>
        <w:t xml:space="preserve">Base housing cap: </w:t>
      </w:r>
      <w:r>
        <w:t>€2,500 average per 28-night family unit.</w:t>
      </w:r>
    </w:p>
    <w:p>
      <w:pPr>
        <w:pStyle w:val="ListBullet"/>
      </w:pPr>
      <w:r>
        <w:rPr>
          <w:b/>
        </w:rPr>
        <w:t xml:space="preserve">Custom camp cap: </w:t>
      </w:r>
      <w:r>
        <w:t>€1,500 per child all-in.</w:t>
      </w:r>
    </w:p>
    <w:p>
      <w:pPr>
        <w:pStyle w:val="SmallNote"/>
      </w:pPr>
      <w:r>
        <w:t>Public evidence: [S25–S34, S53, S62–S68, S70, S72–S73, S82–S84, S86]</w:t>
      </w:r>
    </w:p>
    <w:p>
      <w:pPr>
        <w:pStyle w:val="Heading1"/>
      </w:pPr>
      <w:r>
        <w:t>Public housing discovery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6"/>
        <w:gridCol w:w="2056"/>
        <w:gridCol w:w="2056"/>
        <w:gridCol w:w="2056"/>
        <w:gridCol w:w="2056"/>
      </w:tblGrid>
      <w:tr>
        <w:tc>
          <w:tcPr>
            <w:tcW w:type="dxa" w:w="2056"/>
            <w:shd w:fill="1C767D"/>
          </w:tcPr>
          <w:p>
            <w:r>
              <w:rPr>
                <w:b/>
                <w:color w:val="FFFFFF"/>
                <w:sz w:val="15"/>
              </w:rPr>
              <w:t>Track</w:t>
            </w:r>
          </w:p>
        </w:tc>
        <w:tc>
          <w:tcPr>
            <w:tcW w:type="dxa" w:w="2056"/>
            <w:shd w:fill="1C767D"/>
          </w:tcPr>
          <w:p>
            <w:r>
              <w:rPr>
                <w:b/>
                <w:color w:val="FFFFFF"/>
                <w:sz w:val="15"/>
              </w:rPr>
              <w:t>Public supplier/listing</w:t>
            </w:r>
          </w:p>
        </w:tc>
        <w:tc>
          <w:tcPr>
            <w:tcW w:type="dxa" w:w="2056"/>
            <w:shd w:fill="1C767D"/>
          </w:tcPr>
          <w:p>
            <w:r>
              <w:rPr>
                <w:b/>
                <w:color w:val="FFFFFF"/>
                <w:sz w:val="15"/>
              </w:rPr>
              <w:t>Observed public evidence</w:t>
            </w:r>
          </w:p>
        </w:tc>
        <w:tc>
          <w:tcPr>
            <w:tcW w:type="dxa" w:w="2056"/>
            <w:shd w:fill="1C767D"/>
          </w:tcPr>
          <w:p>
            <w:r>
              <w:rPr>
                <w:b/>
                <w:color w:val="FFFFFF"/>
                <w:sz w:val="15"/>
              </w:rPr>
              <w:t>What it proves / does not prove</w:t>
            </w:r>
          </w:p>
        </w:tc>
        <w:tc>
          <w:tcPr>
            <w:tcW w:type="dxa" w:w="2056"/>
            <w:shd w:fill="1C767D"/>
          </w:tcPr>
          <w:p>
            <w:r>
              <w:rPr>
                <w:b/>
                <w:color w:val="FFFFFF"/>
                <w:sz w:val="15"/>
              </w:rPr>
              <w:t>Source</w:t>
            </w:r>
          </w:p>
        </w:tc>
      </w:tr>
      <w:tr>
        <w:tc>
          <w:tcPr>
            <w:tcW w:type="dxa" w:w="2056"/>
            <w:vAlign w:val="top"/>
          </w:tcPr>
          <w:p>
            <w:r>
              <w:rPr>
                <w:sz w:val="15"/>
              </w:rPr>
              <w:t>Cascais</w:t>
            </w:r>
          </w:p>
        </w:tc>
        <w:tc>
          <w:tcPr>
            <w:tcW w:type="dxa" w:w="2056"/>
            <w:vAlign w:val="top"/>
          </w:tcPr>
          <w:p>
            <w:r>
              <w:rPr>
                <w:sz w:val="15"/>
              </w:rPr>
              <w:t>BeGuest Cascais Inn</w:t>
            </w:r>
          </w:p>
        </w:tc>
        <w:tc>
          <w:tcPr>
            <w:tcW w:type="dxa" w:w="2056"/>
            <w:vAlign w:val="top"/>
          </w:tcPr>
          <w:p>
            <w:r>
              <w:rPr>
                <w:sz w:val="15"/>
              </w:rPr>
              <w:t>€2,200/month</w:t>
            </w:r>
          </w:p>
        </w:tc>
        <w:tc>
          <w:tcPr>
            <w:tcW w:type="dxa" w:w="2056"/>
            <w:vAlign w:val="top"/>
          </w:tcPr>
          <w:p>
            <w:r>
              <w:rPr>
                <w:sz w:val="15"/>
              </w:rPr>
              <w:t>Single unit; useful low anchor, not July group inventory</w:t>
            </w:r>
          </w:p>
        </w:tc>
        <w:tc>
          <w:tcPr>
            <w:tcW w:type="dxa" w:w="2056"/>
            <w:vAlign w:val="top"/>
          </w:tcPr>
          <w:p>
            <w:r>
              <w:rPr>
                <w:sz w:val="15"/>
              </w:rPr>
              <w:t>S57</w:t>
            </w:r>
          </w:p>
        </w:tc>
      </w:tr>
      <w:tr>
        <w:tc>
          <w:tcPr>
            <w:tcW w:type="dxa" w:w="2056"/>
            <w:vAlign w:val="top"/>
            <w:shd w:fill="F1F5F8"/>
          </w:tcPr>
          <w:p>
            <w:r>
              <w:rPr>
                <w:sz w:val="15"/>
              </w:rPr>
              <w:t>Cascais</w:t>
            </w:r>
          </w:p>
        </w:tc>
        <w:tc>
          <w:tcPr>
            <w:tcW w:type="dxa" w:w="2056"/>
            <w:vAlign w:val="top"/>
            <w:shd w:fill="F1F5F8"/>
          </w:tcPr>
          <w:p>
            <w:r>
              <w:rPr>
                <w:sz w:val="15"/>
              </w:rPr>
              <w:t>Parede family apartment</w:t>
            </w:r>
          </w:p>
        </w:tc>
        <w:tc>
          <w:tcPr>
            <w:tcW w:type="dxa" w:w="2056"/>
            <w:vAlign w:val="top"/>
            <w:shd w:fill="F1F5F8"/>
          </w:tcPr>
          <w:p>
            <w:r>
              <w:rPr>
                <w:sz w:val="15"/>
              </w:rPr>
              <w:t>€2,700/30 days</w:t>
            </w:r>
          </w:p>
        </w:tc>
        <w:tc>
          <w:tcPr>
            <w:tcW w:type="dxa" w:w="2056"/>
            <w:vAlign w:val="top"/>
            <w:shd w:fill="F1F5F8"/>
          </w:tcPr>
          <w:p>
            <w:r>
              <w:rPr>
                <w:sz w:val="15"/>
              </w:rPr>
              <w:t>Supports broader coast; single listing</w:t>
            </w:r>
          </w:p>
        </w:tc>
        <w:tc>
          <w:tcPr>
            <w:tcW w:type="dxa" w:w="2056"/>
            <w:vAlign w:val="top"/>
            <w:shd w:fill="F1F5F8"/>
          </w:tcPr>
          <w:p>
            <w:r>
              <w:rPr>
                <w:sz w:val="15"/>
              </w:rPr>
              <w:t>S23</w:t>
            </w:r>
          </w:p>
        </w:tc>
      </w:tr>
      <w:tr>
        <w:tc>
          <w:tcPr>
            <w:tcW w:type="dxa" w:w="2056"/>
            <w:vAlign w:val="top"/>
          </w:tcPr>
          <w:p>
            <w:r>
              <w:rPr>
                <w:sz w:val="15"/>
              </w:rPr>
              <w:t>Cascais</w:t>
            </w:r>
          </w:p>
        </w:tc>
        <w:tc>
          <w:tcPr>
            <w:tcW w:type="dxa" w:w="2056"/>
            <w:vAlign w:val="top"/>
          </w:tcPr>
          <w:p>
            <w:r>
              <w:rPr>
                <w:sz w:val="15"/>
              </w:rPr>
              <w:t>Vila Bicuda T1</w:t>
            </w:r>
          </w:p>
        </w:tc>
        <w:tc>
          <w:tcPr>
            <w:tcW w:type="dxa" w:w="2056"/>
            <w:vAlign w:val="top"/>
          </w:tcPr>
          <w:p>
            <w:r>
              <w:rPr>
                <w:sz w:val="15"/>
              </w:rPr>
              <w:t>€7,140/28 nights at 2026 high-season public retail</w:t>
            </w:r>
          </w:p>
        </w:tc>
        <w:tc>
          <w:tcPr>
            <w:tcW w:type="dxa" w:w="2056"/>
            <w:vAlign w:val="top"/>
          </w:tcPr>
          <w:p>
            <w:r>
              <w:rPr>
                <w:sz w:val="15"/>
              </w:rPr>
              <w:t>79-villa scale signal; requires major discount</w:t>
            </w:r>
          </w:p>
        </w:tc>
        <w:tc>
          <w:tcPr>
            <w:tcW w:type="dxa" w:w="2056"/>
            <w:vAlign w:val="top"/>
          </w:tcPr>
          <w:p>
            <w:r>
              <w:rPr>
                <w:sz w:val="15"/>
              </w:rPr>
              <w:t>S20–S21</w:t>
            </w:r>
          </w:p>
        </w:tc>
      </w:tr>
      <w:tr>
        <w:tc>
          <w:tcPr>
            <w:tcW w:type="dxa" w:w="2056"/>
            <w:vAlign w:val="top"/>
            <w:shd w:fill="F1F5F8"/>
          </w:tcPr>
          <w:p>
            <w:r>
              <w:rPr>
                <w:sz w:val="15"/>
              </w:rPr>
              <w:t>Cascais</w:t>
            </w:r>
          </w:p>
        </w:tc>
        <w:tc>
          <w:tcPr>
            <w:tcW w:type="dxa" w:w="2056"/>
            <w:vAlign w:val="top"/>
            <w:shd w:fill="F1F5F8"/>
          </w:tcPr>
          <w:p>
            <w:r>
              <w:rPr>
                <w:sz w:val="15"/>
              </w:rPr>
              <w:t>Vila Bicuda T2</w:t>
            </w:r>
          </w:p>
        </w:tc>
        <w:tc>
          <w:tcPr>
            <w:tcW w:type="dxa" w:w="2056"/>
            <w:vAlign w:val="top"/>
            <w:shd w:fill="F1F5F8"/>
          </w:tcPr>
          <w:p>
            <w:r>
              <w:rPr>
                <w:sz w:val="15"/>
              </w:rPr>
              <w:t>€11,620/28 nights at 2026 high-season public retail</w:t>
            </w:r>
          </w:p>
        </w:tc>
        <w:tc>
          <w:tcPr>
            <w:tcW w:type="dxa" w:w="2056"/>
            <w:vAlign w:val="top"/>
            <w:shd w:fill="F1F5F8"/>
          </w:tcPr>
          <w:p>
            <w:r>
              <w:rPr>
                <w:sz w:val="15"/>
              </w:rPr>
              <w:t>Not viable at retail</w:t>
            </w:r>
          </w:p>
        </w:tc>
        <w:tc>
          <w:tcPr>
            <w:tcW w:type="dxa" w:w="2056"/>
            <w:vAlign w:val="top"/>
            <w:shd w:fill="F1F5F8"/>
          </w:tcPr>
          <w:p>
            <w:r>
              <w:rPr>
                <w:sz w:val="15"/>
              </w:rPr>
              <w:t>S20–S21</w:t>
            </w:r>
          </w:p>
        </w:tc>
      </w:tr>
      <w:tr>
        <w:tc>
          <w:tcPr>
            <w:tcW w:type="dxa" w:w="2056"/>
            <w:vAlign w:val="top"/>
          </w:tcPr>
          <w:p>
            <w:r>
              <w:rPr>
                <w:sz w:val="15"/>
              </w:rPr>
              <w:t>Cascais</w:t>
            </w:r>
          </w:p>
        </w:tc>
        <w:tc>
          <w:tcPr>
            <w:tcW w:type="dxa" w:w="2056"/>
            <w:vAlign w:val="top"/>
          </w:tcPr>
          <w:p>
            <w:r>
              <w:rPr>
                <w:sz w:val="15"/>
              </w:rPr>
              <w:t>NAMA Carcavelos</w:t>
            </w:r>
          </w:p>
        </w:tc>
        <w:tc>
          <w:tcPr>
            <w:tcW w:type="dxa" w:w="2056"/>
            <w:vAlign w:val="top"/>
          </w:tcPr>
          <w:p>
            <w:r>
              <w:rPr>
                <w:sz w:val="15"/>
              </w:rPr>
              <w:t>45 planned residences</w:t>
            </w:r>
          </w:p>
        </w:tc>
        <w:tc>
          <w:tcPr>
            <w:tcW w:type="dxa" w:w="2056"/>
            <w:vAlign w:val="top"/>
          </w:tcPr>
          <w:p>
            <w:r>
              <w:rPr>
                <w:sz w:val="15"/>
              </w:rPr>
              <w:t>Potential single-site solution; opening and 2027 availability uncertain</w:t>
            </w:r>
          </w:p>
        </w:tc>
        <w:tc>
          <w:tcPr>
            <w:tcW w:type="dxa" w:w="2056"/>
            <w:vAlign w:val="top"/>
          </w:tcPr>
          <w:p>
            <w:r>
              <w:rPr>
                <w:sz w:val="15"/>
              </w:rPr>
              <w:t>S22</w:t>
            </w:r>
          </w:p>
        </w:tc>
      </w:tr>
      <w:tr>
        <w:tc>
          <w:tcPr>
            <w:tcW w:type="dxa" w:w="2056"/>
            <w:vAlign w:val="top"/>
            <w:shd w:fill="F1F5F8"/>
          </w:tcPr>
          <w:p>
            <w:r>
              <w:rPr>
                <w:sz w:val="15"/>
              </w:rPr>
              <w:t>Cascais</w:t>
            </w:r>
          </w:p>
        </w:tc>
        <w:tc>
          <w:tcPr>
            <w:tcW w:type="dxa" w:w="2056"/>
            <w:vAlign w:val="top"/>
            <w:shd w:fill="F1F5F8"/>
          </w:tcPr>
          <w:p>
            <w:r>
              <w:rPr>
                <w:sz w:val="15"/>
              </w:rPr>
              <w:t>Casa de Limão Parede</w:t>
            </w:r>
          </w:p>
        </w:tc>
        <w:tc>
          <w:tcPr>
            <w:tcW w:type="dxa" w:w="2056"/>
            <w:vAlign w:val="top"/>
            <w:shd w:fill="F1F5F8"/>
          </w:tcPr>
          <w:p>
            <w:r>
              <w:rPr>
                <w:sz w:val="15"/>
              </w:rPr>
              <w:t>Three 2BR units; public €300/night</w:t>
            </w:r>
          </w:p>
        </w:tc>
        <w:tc>
          <w:tcPr>
            <w:tcW w:type="dxa" w:w="2056"/>
            <w:vAlign w:val="top"/>
            <w:shd w:fill="F1F5F8"/>
          </w:tcPr>
          <w:p>
            <w:r>
              <w:rPr>
                <w:sz w:val="15"/>
              </w:rPr>
              <w:t>Micro-cluster only; retail far above cap</w:t>
            </w:r>
          </w:p>
        </w:tc>
        <w:tc>
          <w:tcPr>
            <w:tcW w:type="dxa" w:w="2056"/>
            <w:vAlign w:val="top"/>
            <w:shd w:fill="F1F5F8"/>
          </w:tcPr>
          <w:p>
            <w:r>
              <w:rPr>
                <w:sz w:val="15"/>
              </w:rPr>
              <w:t>S74</w:t>
            </w:r>
          </w:p>
        </w:tc>
      </w:tr>
      <w:tr>
        <w:tc>
          <w:tcPr>
            <w:tcW w:type="dxa" w:w="2056"/>
            <w:vAlign w:val="top"/>
          </w:tcPr>
          <w:p>
            <w:r>
              <w:rPr>
                <w:sz w:val="15"/>
              </w:rPr>
              <w:t>Porto</w:t>
            </w:r>
          </w:p>
        </w:tc>
        <w:tc>
          <w:tcPr>
            <w:tcW w:type="dxa" w:w="2056"/>
            <w:vAlign w:val="top"/>
          </w:tcPr>
          <w:p>
            <w:r>
              <w:rPr>
                <w:sz w:val="15"/>
              </w:rPr>
              <w:t>Feel Corporate Housing Campanhã</w:t>
            </w:r>
          </w:p>
        </w:tc>
        <w:tc>
          <w:tcPr>
            <w:tcW w:type="dxa" w:w="2056"/>
            <w:vAlign w:val="top"/>
          </w:tcPr>
          <w:p>
            <w:r>
              <w:rPr>
                <w:sz w:val="15"/>
              </w:rPr>
              <w:t>€1,236 average/30 days</w:t>
            </w:r>
          </w:p>
        </w:tc>
        <w:tc>
          <w:tcPr>
            <w:tcW w:type="dxa" w:w="2056"/>
            <w:vAlign w:val="top"/>
          </w:tcPr>
          <w:p>
            <w:r>
              <w:rPr>
                <w:sz w:val="15"/>
              </w:rPr>
              <w:t>Low public anchor; date/scale not proven</w:t>
            </w:r>
          </w:p>
        </w:tc>
        <w:tc>
          <w:tcPr>
            <w:tcW w:type="dxa" w:w="2056"/>
            <w:vAlign w:val="top"/>
          </w:tcPr>
          <w:p>
            <w:r>
              <w:rPr>
                <w:sz w:val="15"/>
              </w:rPr>
              <w:t>S65</w:t>
            </w:r>
          </w:p>
        </w:tc>
      </w:tr>
      <w:tr>
        <w:tc>
          <w:tcPr>
            <w:tcW w:type="dxa" w:w="2056"/>
            <w:vAlign w:val="top"/>
            <w:shd w:fill="F1F5F8"/>
          </w:tcPr>
          <w:p>
            <w:r>
              <w:rPr>
                <w:sz w:val="15"/>
              </w:rPr>
              <w:t>Porto</w:t>
            </w:r>
          </w:p>
        </w:tc>
        <w:tc>
          <w:tcPr>
            <w:tcW w:type="dxa" w:w="2056"/>
            <w:vAlign w:val="top"/>
            <w:shd w:fill="F1F5F8"/>
          </w:tcPr>
          <w:p>
            <w:r>
              <w:rPr>
                <w:sz w:val="15"/>
              </w:rPr>
              <w:t>Boavista 2BR</w:t>
            </w:r>
          </w:p>
        </w:tc>
        <w:tc>
          <w:tcPr>
            <w:tcW w:type="dxa" w:w="2056"/>
            <w:vAlign w:val="top"/>
            <w:shd w:fill="F1F5F8"/>
          </w:tcPr>
          <w:p>
            <w:r>
              <w:rPr>
                <w:sz w:val="15"/>
              </w:rPr>
              <w:t>€1,730 average/30 days</w:t>
            </w:r>
          </w:p>
        </w:tc>
        <w:tc>
          <w:tcPr>
            <w:tcW w:type="dxa" w:w="2056"/>
            <w:vAlign w:val="top"/>
            <w:shd w:fill="F1F5F8"/>
          </w:tcPr>
          <w:p>
            <w:r>
              <w:rPr>
                <w:sz w:val="15"/>
              </w:rPr>
              <w:t>Supports Porto base range</w:t>
            </w:r>
          </w:p>
        </w:tc>
        <w:tc>
          <w:tcPr>
            <w:tcW w:type="dxa" w:w="2056"/>
            <w:vAlign w:val="top"/>
            <w:shd w:fill="F1F5F8"/>
          </w:tcPr>
          <w:p>
            <w:r>
              <w:rPr>
                <w:sz w:val="15"/>
              </w:rPr>
              <w:t>S31</w:t>
            </w:r>
          </w:p>
        </w:tc>
      </w:tr>
      <w:tr>
        <w:tc>
          <w:tcPr>
            <w:tcW w:type="dxa" w:w="2056"/>
            <w:vAlign w:val="top"/>
          </w:tcPr>
          <w:p>
            <w:r>
              <w:rPr>
                <w:sz w:val="15"/>
              </w:rPr>
              <w:t>Porto</w:t>
            </w:r>
          </w:p>
        </w:tc>
        <w:tc>
          <w:tcPr>
            <w:tcW w:type="dxa" w:w="2056"/>
            <w:vAlign w:val="top"/>
          </w:tcPr>
          <w:p>
            <w:r>
              <w:rPr>
                <w:sz w:val="15"/>
              </w:rPr>
              <w:t>Uniplaces Bonfim 2BR</w:t>
            </w:r>
          </w:p>
        </w:tc>
        <w:tc>
          <w:tcPr>
            <w:tcW w:type="dxa" w:w="2056"/>
            <w:vAlign w:val="top"/>
          </w:tcPr>
          <w:p>
            <w:r>
              <w:rPr>
                <w:sz w:val="15"/>
              </w:rPr>
              <w:t>€1,960 published July 2026 monthly rate</w:t>
            </w:r>
          </w:p>
        </w:tc>
        <w:tc>
          <w:tcPr>
            <w:tcW w:type="dxa" w:w="2056"/>
            <w:vAlign w:val="top"/>
          </w:tcPr>
          <w:p>
            <w:r>
              <w:rPr>
                <w:sz w:val="15"/>
              </w:rPr>
              <w:t>Date-specific historical anchor</w:t>
            </w:r>
          </w:p>
        </w:tc>
        <w:tc>
          <w:tcPr>
            <w:tcW w:type="dxa" w:w="2056"/>
            <w:vAlign w:val="top"/>
          </w:tcPr>
          <w:p>
            <w:r>
              <w:rPr>
                <w:sz w:val="15"/>
              </w:rPr>
              <w:t>S66</w:t>
            </w:r>
          </w:p>
        </w:tc>
      </w:tr>
      <w:tr>
        <w:tc>
          <w:tcPr>
            <w:tcW w:type="dxa" w:w="2056"/>
            <w:vAlign w:val="top"/>
            <w:shd w:fill="F1F5F8"/>
          </w:tcPr>
          <w:p>
            <w:r>
              <w:rPr>
                <w:sz w:val="15"/>
              </w:rPr>
              <w:t>Porto</w:t>
            </w:r>
          </w:p>
        </w:tc>
        <w:tc>
          <w:tcPr>
            <w:tcW w:type="dxa" w:w="2056"/>
            <w:vAlign w:val="top"/>
            <w:shd w:fill="F1F5F8"/>
          </w:tcPr>
          <w:p>
            <w:r>
              <w:rPr>
                <w:sz w:val="15"/>
              </w:rPr>
              <w:t>Modern Cedofeita 2BR</w:t>
            </w:r>
          </w:p>
        </w:tc>
        <w:tc>
          <w:tcPr>
            <w:tcW w:type="dxa" w:w="2056"/>
            <w:vAlign w:val="top"/>
            <w:shd w:fill="F1F5F8"/>
          </w:tcPr>
          <w:p>
            <w:r>
              <w:rPr>
                <w:sz w:val="15"/>
              </w:rPr>
              <w:t>€2,800 average/30 days</w:t>
            </w:r>
          </w:p>
        </w:tc>
        <w:tc>
          <w:tcPr>
            <w:tcW w:type="dxa" w:w="2056"/>
            <w:vAlign w:val="top"/>
            <w:shd w:fill="F1F5F8"/>
          </w:tcPr>
          <w:p>
            <w:r>
              <w:rPr>
                <w:sz w:val="15"/>
              </w:rPr>
              <w:t>Upper public benchmark</w:t>
            </w:r>
          </w:p>
        </w:tc>
        <w:tc>
          <w:tcPr>
            <w:tcW w:type="dxa" w:w="2056"/>
            <w:vAlign w:val="top"/>
            <w:shd w:fill="F1F5F8"/>
          </w:tcPr>
          <w:p>
            <w:r>
              <w:rPr>
                <w:sz w:val="15"/>
              </w:rPr>
              <w:t>S30</w:t>
            </w:r>
          </w:p>
        </w:tc>
      </w:tr>
      <w:tr>
        <w:tc>
          <w:tcPr>
            <w:tcW w:type="dxa" w:w="2056"/>
            <w:vAlign w:val="top"/>
          </w:tcPr>
          <w:p>
            <w:r>
              <w:rPr>
                <w:sz w:val="15"/>
              </w:rPr>
              <w:t>Porto</w:t>
            </w:r>
          </w:p>
        </w:tc>
        <w:tc>
          <w:tcPr>
            <w:tcW w:type="dxa" w:w="2056"/>
            <w:vAlign w:val="top"/>
          </w:tcPr>
          <w:p>
            <w:r>
              <w:rPr>
                <w:sz w:val="15"/>
              </w:rPr>
              <w:t>Vibrant Host</w:t>
            </w:r>
          </w:p>
        </w:tc>
        <w:tc>
          <w:tcPr>
            <w:tcW w:type="dxa" w:w="2056"/>
            <w:vAlign w:val="top"/>
          </w:tcPr>
          <w:p>
            <w:r>
              <w:rPr>
                <w:sz w:val="15"/>
              </w:rPr>
              <w:t>Eight apartments marketed for groups; public examples</w:t>
            </w:r>
          </w:p>
        </w:tc>
        <w:tc>
          <w:tcPr>
            <w:tcW w:type="dxa" w:w="2056"/>
            <w:vAlign w:val="top"/>
          </w:tcPr>
          <w:p>
            <w:r>
              <w:rPr>
                <w:sz w:val="15"/>
              </w:rPr>
              <w:t>High-priority RFP lead; family rate and inventory unknown</w:t>
            </w:r>
          </w:p>
        </w:tc>
        <w:tc>
          <w:tcPr>
            <w:tcW w:type="dxa" w:w="2056"/>
            <w:vAlign w:val="top"/>
          </w:tcPr>
          <w:p>
            <w:r>
              <w:rPr>
                <w:sz w:val="15"/>
              </w:rPr>
              <w:t>S72</w:t>
            </w:r>
          </w:p>
        </w:tc>
      </w:tr>
      <w:tr>
        <w:tc>
          <w:tcPr>
            <w:tcW w:type="dxa" w:w="2056"/>
            <w:vAlign w:val="top"/>
            <w:shd w:fill="F1F5F8"/>
          </w:tcPr>
          <w:p>
            <w:r>
              <w:rPr>
                <w:sz w:val="15"/>
              </w:rPr>
              <w:t>Porto</w:t>
            </w:r>
          </w:p>
        </w:tc>
        <w:tc>
          <w:tcPr>
            <w:tcW w:type="dxa" w:w="2056"/>
            <w:vAlign w:val="top"/>
            <w:shd w:fill="F1F5F8"/>
          </w:tcPr>
          <w:p>
            <w:r>
              <w:rPr>
                <w:sz w:val="15"/>
              </w:rPr>
              <w:t>Oporto Maison</w:t>
            </w:r>
          </w:p>
        </w:tc>
        <w:tc>
          <w:tcPr>
            <w:tcW w:type="dxa" w:w="2056"/>
            <w:vAlign w:val="top"/>
            <w:shd w:fill="F1F5F8"/>
          </w:tcPr>
          <w:p>
            <w:r>
              <w:rPr>
                <w:sz w:val="15"/>
              </w:rPr>
              <w:t>Multiple serviced-apartment buildings; “from” rate public</w:t>
            </w:r>
          </w:p>
        </w:tc>
        <w:tc>
          <w:tcPr>
            <w:tcW w:type="dxa" w:w="2056"/>
            <w:vAlign w:val="top"/>
            <w:shd w:fill="F1F5F8"/>
          </w:tcPr>
          <w:p>
            <w:r>
              <w:rPr>
                <w:sz w:val="15"/>
              </w:rPr>
              <w:t>Cluster lead; July quote required</w:t>
            </w:r>
          </w:p>
        </w:tc>
        <w:tc>
          <w:tcPr>
            <w:tcW w:type="dxa" w:w="2056"/>
            <w:vAlign w:val="top"/>
            <w:shd w:fill="F1F5F8"/>
          </w:tcPr>
          <w:p>
            <w:r>
              <w:rPr>
                <w:sz w:val="15"/>
              </w:rPr>
              <w:t>S33–S34, S86</w:t>
            </w:r>
          </w:p>
        </w:tc>
      </w:tr>
    </w:tbl>
    <w:p/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126480" cy="344614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ousing_benchmarks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446145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82"/>
      </w:tblGrid>
      <w:tr>
        <w:tc>
          <w:tcPr>
            <w:tcW w:type="dxa" w:w="10282"/>
            <w:shd w:fill="FFF2CC"/>
          </w:tcPr>
          <w:p>
            <w:r>
              <w:rPr>
                <w:b/>
                <w:color w:val="1B3959"/>
              </w:rPr>
              <w:t>Housing conclusion</w:t>
            </w:r>
            <w:r>
              <w:br/>
              <w:t>Porto has the stronger public cost evidence. Neither city has publicly demonstrated an 18-unit July 2027 cluster. A written inventory schedule—not a verbal capacity claim—must list every unit, bedrooms, occupancy, address, walking/transit time, tax, cleaning, utilities, cancellation and payment dates.</w:t>
            </w:r>
          </w:p>
        </w:tc>
      </w:tr>
    </w:tbl>
    <w:p/>
    <w:p>
      <w:pPr>
        <w:pStyle w:val="Heading1"/>
      </w:pPr>
      <w:r>
        <w:t>Public camp supplier discovery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14"/>
        <w:gridCol w:w="1714"/>
        <w:gridCol w:w="1714"/>
        <w:gridCol w:w="1714"/>
        <w:gridCol w:w="1714"/>
        <w:gridCol w:w="1714"/>
      </w:tblGrid>
      <w:tr>
        <w:tc>
          <w:tcPr>
            <w:tcW w:type="dxa" w:w="1714"/>
            <w:shd w:fill="1C767D"/>
          </w:tcPr>
          <w:p>
            <w:r>
              <w:rPr>
                <w:b/>
                <w:color w:val="FFFFFF"/>
                <w:sz w:val="14"/>
              </w:rPr>
              <w:t>Track</w:t>
            </w:r>
          </w:p>
        </w:tc>
        <w:tc>
          <w:tcPr>
            <w:tcW w:type="dxa" w:w="1714"/>
            <w:shd w:fill="1C767D"/>
          </w:tcPr>
          <w:p>
            <w:r>
              <w:rPr>
                <w:b/>
                <w:color w:val="FFFFFF"/>
                <w:sz w:val="14"/>
              </w:rPr>
              <w:t>Supplier</w:t>
            </w:r>
          </w:p>
        </w:tc>
        <w:tc>
          <w:tcPr>
            <w:tcW w:type="dxa" w:w="1714"/>
            <w:shd w:fill="1C767D"/>
          </w:tcPr>
          <w:p>
            <w:r>
              <w:rPr>
                <w:b/>
                <w:color w:val="FFFFFF"/>
                <w:sz w:val="14"/>
              </w:rPr>
              <w:t>Observed public product</w:t>
            </w:r>
          </w:p>
        </w:tc>
        <w:tc>
          <w:tcPr>
            <w:tcW w:type="dxa" w:w="1714"/>
            <w:shd w:fill="1C767D"/>
          </w:tcPr>
          <w:p>
            <w:r>
              <w:rPr>
                <w:b/>
                <w:color w:val="FFFFFF"/>
                <w:sz w:val="14"/>
              </w:rPr>
              <w:t>Registry status</w:t>
            </w:r>
          </w:p>
        </w:tc>
        <w:tc>
          <w:tcPr>
            <w:tcW w:type="dxa" w:w="1714"/>
            <w:shd w:fill="1C767D"/>
          </w:tcPr>
          <w:p>
            <w:r>
              <w:rPr>
                <w:b/>
                <w:color w:val="FFFFFF"/>
                <w:sz w:val="14"/>
              </w:rPr>
              <w:t>Interpretation</w:t>
            </w:r>
          </w:p>
        </w:tc>
        <w:tc>
          <w:tcPr>
            <w:tcW w:type="dxa" w:w="1714"/>
            <w:shd w:fill="1C767D"/>
          </w:tcPr>
          <w:p>
            <w:r>
              <w:rPr>
                <w:b/>
                <w:color w:val="FFFFFF"/>
                <w:sz w:val="14"/>
              </w:rPr>
              <w:t>Source</w:t>
            </w:r>
          </w:p>
        </w:tc>
      </w:tr>
      <w:tr>
        <w:tc>
          <w:tcPr>
            <w:tcW w:type="dxa" w:w="1714"/>
            <w:vAlign w:val="top"/>
          </w:tcPr>
          <w:p>
            <w:r>
              <w:rPr>
                <w:sz w:val="14"/>
              </w:rPr>
              <w:t>Cascais</w:t>
            </w:r>
          </w:p>
        </w:tc>
        <w:tc>
          <w:tcPr>
            <w:tcW w:type="dxa" w:w="1714"/>
            <w:vAlign w:val="top"/>
          </w:tcPr>
          <w:p>
            <w:r>
              <w:rPr>
                <w:sz w:val="14"/>
              </w:rPr>
              <w:t>Camp Go</w:t>
            </w:r>
          </w:p>
        </w:tc>
        <w:tc>
          <w:tcPr>
            <w:tcW w:type="dxa" w:w="1714"/>
            <w:vAlign w:val="top"/>
          </w:tcPr>
          <w:p>
            <w:r>
              <w:rPr>
                <w:sz w:val="14"/>
              </w:rPr>
              <w:t>08:30–17:30; €60/day</w:t>
            </w:r>
          </w:p>
        </w:tc>
        <w:tc>
          <w:tcPr>
            <w:tcW w:type="dxa" w:w="1714"/>
            <w:vAlign w:val="top"/>
          </w:tcPr>
          <w:p>
            <w:r>
              <w:rPr>
                <w:sz w:val="14"/>
              </w:rPr>
              <w:t>IPDJ 515/DRLVT</w:t>
            </w:r>
          </w:p>
        </w:tc>
        <w:tc>
          <w:tcPr>
            <w:tcW w:type="dxa" w:w="1714"/>
            <w:vAlign w:val="top"/>
          </w:tcPr>
          <w:p>
            <w:r>
              <w:rPr>
                <w:sz w:val="14"/>
              </w:rPr>
              <w:t>Credible operator; custom late bid required</w:t>
            </w:r>
          </w:p>
        </w:tc>
        <w:tc>
          <w:tcPr>
            <w:tcW w:type="dxa" w:w="1714"/>
            <w:vAlign w:val="top"/>
          </w:tcPr>
          <w:p>
            <w:r>
              <w:rPr>
                <w:sz w:val="14"/>
              </w:rPr>
              <w:t>S13,S71</w:t>
            </w:r>
          </w:p>
        </w:tc>
      </w:tr>
      <w:tr>
        <w:tc>
          <w:tcPr>
            <w:tcW w:type="dxa" w:w="1714"/>
            <w:vAlign w:val="top"/>
            <w:shd w:fill="F1F5F8"/>
          </w:tcPr>
          <w:p>
            <w:r>
              <w:rPr>
                <w:sz w:val="14"/>
              </w:rPr>
              <w:t>Cascais</w:t>
            </w:r>
          </w:p>
        </w:tc>
        <w:tc>
          <w:tcPr>
            <w:tcW w:type="dxa" w:w="1714"/>
            <w:vAlign w:val="top"/>
            <w:shd w:fill="F1F5F8"/>
          </w:tcPr>
          <w:p>
            <w:r>
              <w:rPr>
                <w:sz w:val="14"/>
              </w:rPr>
              <w:t>Carcavelos Tennis</w:t>
            </w:r>
          </w:p>
        </w:tc>
        <w:tc>
          <w:tcPr>
            <w:tcW w:type="dxa" w:w="1714"/>
            <w:vAlign w:val="top"/>
            <w:shd w:fill="F1F5F8"/>
          </w:tcPr>
          <w:p>
            <w:r>
              <w:rPr>
                <w:sz w:val="14"/>
              </w:rPr>
              <w:t>08:30–18:00; ~€950/4 weeks</w:t>
            </w:r>
          </w:p>
        </w:tc>
        <w:tc>
          <w:tcPr>
            <w:tcW w:type="dxa" w:w="1714"/>
            <w:vAlign w:val="top"/>
            <w:shd w:fill="F1F5F8"/>
          </w:tcPr>
          <w:p>
            <w:r>
              <w:rPr>
                <w:sz w:val="14"/>
              </w:rPr>
              <w:t>IPDJ 413/DRLVT</w:t>
            </w:r>
          </w:p>
        </w:tc>
        <w:tc>
          <w:tcPr>
            <w:tcW w:type="dxa" w:w="1714"/>
            <w:vAlign w:val="top"/>
            <w:shd w:fill="F1F5F8"/>
          </w:tcPr>
          <w:p>
            <w:r>
              <w:rPr>
                <w:sz w:val="14"/>
              </w:rPr>
              <w:t>Strong normal-hours anchor</w:t>
            </w:r>
          </w:p>
        </w:tc>
        <w:tc>
          <w:tcPr>
            <w:tcW w:type="dxa" w:w="1714"/>
            <w:vAlign w:val="top"/>
            <w:shd w:fill="F1F5F8"/>
          </w:tcPr>
          <w:p>
            <w:r>
              <w:rPr>
                <w:sz w:val="14"/>
              </w:rPr>
              <w:t>S14,S71</w:t>
            </w:r>
          </w:p>
        </w:tc>
      </w:tr>
      <w:tr>
        <w:tc>
          <w:tcPr>
            <w:tcW w:type="dxa" w:w="1714"/>
            <w:vAlign w:val="top"/>
          </w:tcPr>
          <w:p>
            <w:r>
              <w:rPr>
                <w:sz w:val="14"/>
              </w:rPr>
              <w:t>Cascais</w:t>
            </w:r>
          </w:p>
        </w:tc>
        <w:tc>
          <w:tcPr>
            <w:tcW w:type="dxa" w:w="1714"/>
            <w:vAlign w:val="top"/>
          </w:tcPr>
          <w:p>
            <w:r>
              <w:rPr>
                <w:sz w:val="14"/>
              </w:rPr>
              <w:t>Prime School</w:t>
            </w:r>
          </w:p>
        </w:tc>
        <w:tc>
          <w:tcPr>
            <w:tcW w:type="dxa" w:w="1714"/>
            <w:vAlign w:val="top"/>
          </w:tcPr>
          <w:p>
            <w:r>
              <w:rPr>
                <w:sz w:val="14"/>
              </w:rPr>
              <w:t>09:00–16:00; €300/week</w:t>
            </w:r>
          </w:p>
        </w:tc>
        <w:tc>
          <w:tcPr>
            <w:tcW w:type="dxa" w:w="1714"/>
            <w:vAlign w:val="top"/>
          </w:tcPr>
          <w:p>
            <w:r>
              <w:rPr>
                <w:sz w:val="14"/>
              </w:rPr>
              <w:t>SPRINGDOMAIN 410/DRLVT</w:t>
            </w:r>
          </w:p>
        </w:tc>
        <w:tc>
          <w:tcPr>
            <w:tcW w:type="dxa" w:w="1714"/>
            <w:vAlign w:val="top"/>
          </w:tcPr>
          <w:p>
            <w:r>
              <w:rPr>
                <w:sz w:val="14"/>
              </w:rPr>
              <w:t>International fit; no late product</w:t>
            </w:r>
          </w:p>
        </w:tc>
        <w:tc>
          <w:tcPr>
            <w:tcW w:type="dxa" w:w="1714"/>
            <w:vAlign w:val="top"/>
          </w:tcPr>
          <w:p>
            <w:r>
              <w:rPr>
                <w:sz w:val="14"/>
              </w:rPr>
              <w:t>S15,S71</w:t>
            </w:r>
          </w:p>
        </w:tc>
      </w:tr>
      <w:tr>
        <w:tc>
          <w:tcPr>
            <w:tcW w:type="dxa" w:w="1714"/>
            <w:vAlign w:val="top"/>
            <w:shd w:fill="F1F5F8"/>
          </w:tcPr>
          <w:p>
            <w:r>
              <w:rPr>
                <w:sz w:val="14"/>
              </w:rPr>
              <w:t>Cascais</w:t>
            </w:r>
          </w:p>
        </w:tc>
        <w:tc>
          <w:tcPr>
            <w:tcW w:type="dxa" w:w="1714"/>
            <w:vAlign w:val="top"/>
            <w:shd w:fill="F1F5F8"/>
          </w:tcPr>
          <w:p>
            <w:r>
              <w:rPr>
                <w:sz w:val="14"/>
              </w:rPr>
              <w:t>King’s Cascais</w:t>
            </w:r>
          </w:p>
        </w:tc>
        <w:tc>
          <w:tcPr>
            <w:tcW w:type="dxa" w:w="1714"/>
            <w:vAlign w:val="top"/>
            <w:shd w:fill="F1F5F8"/>
          </w:tcPr>
          <w:p>
            <w:r>
              <w:rPr>
                <w:sz w:val="14"/>
              </w:rPr>
              <w:t>08:30–16:30; €290/week</w:t>
            </w:r>
          </w:p>
        </w:tc>
        <w:tc>
          <w:tcPr>
            <w:tcW w:type="dxa" w:w="1714"/>
            <w:vAlign w:val="top"/>
            <w:shd w:fill="F1F5F8"/>
          </w:tcPr>
          <w:p>
            <w:r>
              <w:rPr>
                <w:sz w:val="14"/>
              </w:rPr>
              <w:t>Legal organizer to confirm</w:t>
            </w:r>
          </w:p>
        </w:tc>
        <w:tc>
          <w:tcPr>
            <w:tcW w:type="dxa" w:w="1714"/>
            <w:vAlign w:val="top"/>
            <w:shd w:fill="F1F5F8"/>
          </w:tcPr>
          <w:p>
            <w:r>
              <w:rPr>
                <w:sz w:val="14"/>
              </w:rPr>
              <w:t>Facility/brand option</w:t>
            </w:r>
          </w:p>
        </w:tc>
        <w:tc>
          <w:tcPr>
            <w:tcW w:type="dxa" w:w="1714"/>
            <w:vAlign w:val="top"/>
            <w:shd w:fill="F1F5F8"/>
          </w:tcPr>
          <w:p>
            <w:r>
              <w:rPr>
                <w:sz w:val="14"/>
              </w:rPr>
              <w:t>S16</w:t>
            </w:r>
          </w:p>
        </w:tc>
      </w:tr>
      <w:tr>
        <w:tc>
          <w:tcPr>
            <w:tcW w:type="dxa" w:w="1714"/>
            <w:vAlign w:val="top"/>
          </w:tcPr>
          <w:p>
            <w:r>
              <w:rPr>
                <w:sz w:val="14"/>
              </w:rPr>
              <w:t>Cascais</w:t>
            </w:r>
          </w:p>
        </w:tc>
        <w:tc>
          <w:tcPr>
            <w:tcW w:type="dxa" w:w="1714"/>
            <w:vAlign w:val="top"/>
          </w:tcPr>
          <w:p>
            <w:r>
              <w:rPr>
                <w:sz w:val="14"/>
              </w:rPr>
              <w:t>Wave Riders</w:t>
            </w:r>
          </w:p>
        </w:tc>
        <w:tc>
          <w:tcPr>
            <w:tcW w:type="dxa" w:w="1714"/>
            <w:vAlign w:val="top"/>
          </w:tcPr>
          <w:p>
            <w:r>
              <w:rPr>
                <w:sz w:val="14"/>
              </w:rPr>
              <w:t>09:30–17:30; €235/week</w:t>
            </w:r>
          </w:p>
        </w:tc>
        <w:tc>
          <w:tcPr>
            <w:tcW w:type="dxa" w:w="1714"/>
            <w:vAlign w:val="top"/>
          </w:tcPr>
          <w:p>
            <w:r>
              <w:rPr>
                <w:sz w:val="14"/>
              </w:rPr>
              <w:t>Specialist proof required</w:t>
            </w:r>
          </w:p>
        </w:tc>
        <w:tc>
          <w:tcPr>
            <w:tcW w:type="dxa" w:w="1714"/>
            <w:vAlign w:val="top"/>
          </w:tcPr>
          <w:p>
            <w:r>
              <w:rPr>
                <w:sz w:val="14"/>
              </w:rPr>
              <w:t>Surf component, not sole camp</w:t>
            </w:r>
          </w:p>
        </w:tc>
        <w:tc>
          <w:tcPr>
            <w:tcW w:type="dxa" w:w="1714"/>
            <w:vAlign w:val="top"/>
          </w:tcPr>
          <w:p>
            <w:r>
              <w:rPr>
                <w:sz w:val="14"/>
              </w:rPr>
              <w:t>S85</w:t>
            </w:r>
          </w:p>
        </w:tc>
      </w:tr>
      <w:tr>
        <w:tc>
          <w:tcPr>
            <w:tcW w:type="dxa" w:w="1714"/>
            <w:vAlign w:val="top"/>
            <w:shd w:fill="F1F5F8"/>
          </w:tcPr>
          <w:p>
            <w:r>
              <w:rPr>
                <w:sz w:val="14"/>
              </w:rPr>
              <w:t>Porto</w:t>
            </w:r>
          </w:p>
        </w:tc>
        <w:tc>
          <w:tcPr>
            <w:tcW w:type="dxa" w:w="1714"/>
            <w:vAlign w:val="top"/>
            <w:shd w:fill="F1F5F8"/>
          </w:tcPr>
          <w:p>
            <w:r>
              <w:rPr>
                <w:sz w:val="14"/>
              </w:rPr>
              <w:t>U.Porto CDUP</w:t>
            </w:r>
          </w:p>
        </w:tc>
        <w:tc>
          <w:tcPr>
            <w:tcW w:type="dxa" w:w="1714"/>
            <w:vAlign w:val="top"/>
            <w:shd w:fill="F1F5F8"/>
          </w:tcPr>
          <w:p>
            <w:r>
              <w:rPr>
                <w:sz w:val="14"/>
              </w:rPr>
              <w:t>€155/week; food, insurance, sports kit included</w:t>
            </w:r>
          </w:p>
        </w:tc>
        <w:tc>
          <w:tcPr>
            <w:tcW w:type="dxa" w:w="1714"/>
            <w:vAlign w:val="top"/>
            <w:shd w:fill="F1F5F8"/>
          </w:tcPr>
          <w:p>
            <w:r>
              <w:rPr>
                <w:sz w:val="14"/>
              </w:rPr>
              <w:t>IPDJ 253/DRNorte</w:t>
            </w:r>
          </w:p>
        </w:tc>
        <w:tc>
          <w:tcPr>
            <w:tcW w:type="dxa" w:w="1714"/>
            <w:vAlign w:val="top"/>
            <w:shd w:fill="F1F5F8"/>
          </w:tcPr>
          <w:p>
            <w:r>
              <w:rPr>
                <w:sz w:val="14"/>
              </w:rPr>
              <w:t>Excellent low-cost benchmark; daily hours not public</w:t>
            </w:r>
          </w:p>
        </w:tc>
        <w:tc>
          <w:tcPr>
            <w:tcW w:type="dxa" w:w="1714"/>
            <w:vAlign w:val="top"/>
            <w:shd w:fill="F1F5F8"/>
          </w:tcPr>
          <w:p>
            <w:r>
              <w:rPr>
                <w:sz w:val="14"/>
              </w:rPr>
              <w:t>S70,S83</w:t>
            </w:r>
          </w:p>
        </w:tc>
      </w:tr>
      <w:tr>
        <w:tc>
          <w:tcPr>
            <w:tcW w:type="dxa" w:w="1714"/>
            <w:vAlign w:val="top"/>
          </w:tcPr>
          <w:p>
            <w:r>
              <w:rPr>
                <w:sz w:val="14"/>
              </w:rPr>
              <w:t>Porto</w:t>
            </w:r>
          </w:p>
        </w:tc>
        <w:tc>
          <w:tcPr>
            <w:tcW w:type="dxa" w:w="1714"/>
            <w:vAlign w:val="top"/>
          </w:tcPr>
          <w:p>
            <w:r>
              <w:rPr>
                <w:sz w:val="14"/>
              </w:rPr>
              <w:t>Surfing Life</w:t>
            </w:r>
          </w:p>
        </w:tc>
        <w:tc>
          <w:tcPr>
            <w:tcW w:type="dxa" w:w="1714"/>
            <w:vAlign w:val="top"/>
          </w:tcPr>
          <w:p>
            <w:r>
              <w:rPr>
                <w:sz w:val="14"/>
              </w:rPr>
              <w:t>09:00–18:00; €250/week with lunch; paid extensions public</w:t>
            </w:r>
          </w:p>
        </w:tc>
        <w:tc>
          <w:tcPr>
            <w:tcW w:type="dxa" w:w="1714"/>
            <w:vAlign w:val="top"/>
          </w:tcPr>
          <w:p>
            <w:r>
              <w:rPr>
                <w:sz w:val="14"/>
              </w:rPr>
              <w:t>IPDJ 25/DRNorte</w:t>
            </w:r>
          </w:p>
        </w:tc>
        <w:tc>
          <w:tcPr>
            <w:tcW w:type="dxa" w:w="1714"/>
            <w:vAlign w:val="top"/>
          </w:tcPr>
          <w:p>
            <w:r>
              <w:rPr>
                <w:sz w:val="14"/>
              </w:rPr>
              <w:t>High-priority custom-bid candidate</w:t>
            </w:r>
          </w:p>
        </w:tc>
        <w:tc>
          <w:tcPr>
            <w:tcW w:type="dxa" w:w="1714"/>
            <w:vAlign w:val="top"/>
          </w:tcPr>
          <w:p>
            <w:r>
              <w:rPr>
                <w:sz w:val="14"/>
              </w:rPr>
              <w:t>S70,S82</w:t>
            </w:r>
          </w:p>
        </w:tc>
      </w:tr>
      <w:tr>
        <w:tc>
          <w:tcPr>
            <w:tcW w:type="dxa" w:w="1714"/>
            <w:vAlign w:val="top"/>
            <w:shd w:fill="F1F5F8"/>
          </w:tcPr>
          <w:p>
            <w:r>
              <w:rPr>
                <w:sz w:val="14"/>
              </w:rPr>
              <w:t>Porto</w:t>
            </w:r>
          </w:p>
        </w:tc>
        <w:tc>
          <w:tcPr>
            <w:tcW w:type="dxa" w:w="1714"/>
            <w:vAlign w:val="top"/>
            <w:shd w:fill="F1F5F8"/>
          </w:tcPr>
          <w:p>
            <w:r>
              <w:rPr>
                <w:sz w:val="14"/>
              </w:rPr>
              <w:t>British Council</w:t>
            </w:r>
          </w:p>
        </w:tc>
        <w:tc>
          <w:tcPr>
            <w:tcW w:type="dxa" w:w="1714"/>
            <w:vAlign w:val="top"/>
            <w:shd w:fill="F1F5F8"/>
          </w:tcPr>
          <w:p>
            <w:r>
              <w:rPr>
                <w:sz w:val="14"/>
              </w:rPr>
              <w:t>Arrival 09:00; pickup by 18:00; €195/week</w:t>
            </w:r>
          </w:p>
        </w:tc>
        <w:tc>
          <w:tcPr>
            <w:tcW w:type="dxa" w:w="1714"/>
            <w:vAlign w:val="top"/>
            <w:shd w:fill="F1F5F8"/>
          </w:tcPr>
          <w:p>
            <w:r>
              <w:rPr>
                <w:sz w:val="14"/>
              </w:rPr>
              <w:t>Underlying organizer to document</w:t>
            </w:r>
          </w:p>
        </w:tc>
        <w:tc>
          <w:tcPr>
            <w:tcW w:type="dxa" w:w="1714"/>
            <w:vAlign w:val="top"/>
            <w:shd w:fill="F1F5F8"/>
          </w:tcPr>
          <w:p>
            <w:r>
              <w:rPr>
                <w:sz w:val="14"/>
              </w:rPr>
              <w:t>English component; late extension required</w:t>
            </w:r>
          </w:p>
        </w:tc>
        <w:tc>
          <w:tcPr>
            <w:tcW w:type="dxa" w:w="1714"/>
            <w:vAlign w:val="top"/>
            <w:shd w:fill="F1F5F8"/>
          </w:tcPr>
          <w:p>
            <w:r>
              <w:rPr>
                <w:sz w:val="14"/>
              </w:rPr>
              <w:t>S84</w:t>
            </w:r>
          </w:p>
        </w:tc>
      </w:tr>
      <w:tr>
        <w:tc>
          <w:tcPr>
            <w:tcW w:type="dxa" w:w="1714"/>
            <w:vAlign w:val="top"/>
          </w:tcPr>
          <w:p>
            <w:r>
              <w:rPr>
                <w:sz w:val="14"/>
              </w:rPr>
              <w:t>Porto</w:t>
            </w:r>
          </w:p>
        </w:tc>
        <w:tc>
          <w:tcPr>
            <w:tcW w:type="dxa" w:w="1714"/>
            <w:vAlign w:val="top"/>
          </w:tcPr>
          <w:p>
            <w:r>
              <w:rPr>
                <w:sz w:val="14"/>
              </w:rPr>
              <w:t>Juvigo Multi Camp listing</w:t>
            </w:r>
          </w:p>
        </w:tc>
        <w:tc>
          <w:tcPr>
            <w:tcW w:type="dxa" w:w="1714"/>
            <w:vAlign w:val="top"/>
          </w:tcPr>
          <w:p>
            <w:r>
              <w:rPr>
                <w:sz w:val="14"/>
              </w:rPr>
              <w:t>08:30–18:30; from €190/week</w:t>
            </w:r>
          </w:p>
        </w:tc>
        <w:tc>
          <w:tcPr>
            <w:tcW w:type="dxa" w:w="1714"/>
            <w:vAlign w:val="top"/>
          </w:tcPr>
          <w:p>
            <w:r>
              <w:rPr>
                <w:sz w:val="14"/>
              </w:rPr>
              <w:t>Marketplace listing only</w:t>
            </w:r>
          </w:p>
        </w:tc>
        <w:tc>
          <w:tcPr>
            <w:tcW w:type="dxa" w:w="1714"/>
            <w:vAlign w:val="top"/>
          </w:tcPr>
          <w:p>
            <w:r>
              <w:rPr>
                <w:sz w:val="14"/>
              </w:rPr>
              <w:t>Useful schedule/price anchor</w:t>
            </w:r>
          </w:p>
        </w:tc>
        <w:tc>
          <w:tcPr>
            <w:tcW w:type="dxa" w:w="1714"/>
            <w:vAlign w:val="top"/>
          </w:tcPr>
          <w:p>
            <w:r>
              <w:rPr>
                <w:sz w:val="14"/>
              </w:rPr>
              <w:t>S68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82"/>
      </w:tblGrid>
      <w:tr>
        <w:tc>
          <w:tcPr>
            <w:tcW w:type="dxa" w:w="10282"/>
            <w:shd w:fill="FFF2CC"/>
          </w:tcPr>
          <w:p>
            <w:r>
              <w:rPr>
                <w:b/>
                <w:color w:val="1B3959"/>
              </w:rPr>
              <w:t>Camp conclusion</w:t>
            </w:r>
            <w:r>
              <w:br/>
              <w:t>Public normal-hours retail is roughly €620–€1,200 per child for four weeks, depending on supplier. The proposed late-hours all-in model is estimated at €1,450 Porto / €1,550 Cascais, with hard bid caps of €1,500 / €1,600. These figures are derived, not quotes.</w:t>
            </w:r>
          </w:p>
        </w:tc>
      </w:tr>
    </w:tbl>
    <w:p/>
    <w:p>
      <w:pPr>
        <w:pStyle w:val="Heading2"/>
      </w:pPr>
      <w:r>
        <w:t>Custom late-hours camp cost build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27"/>
        <w:gridCol w:w="3427"/>
        <w:gridCol w:w="3427"/>
      </w:tblGrid>
      <w:tr>
        <w:tc>
          <w:tcPr>
            <w:tcW w:type="dxa" w:w="3427"/>
            <w:shd w:fill="1C767D"/>
          </w:tcPr>
          <w:p>
            <w:r>
              <w:rPr>
                <w:b/>
                <w:color w:val="FFFFFF"/>
                <w:sz w:val="16"/>
              </w:rPr>
              <w:t>Cost block</w:t>
            </w:r>
          </w:p>
        </w:tc>
        <w:tc>
          <w:tcPr>
            <w:tcW w:type="dxa" w:w="3427"/>
            <w:shd w:fill="1C767D"/>
          </w:tcPr>
          <w:p>
            <w:r>
              <w:rPr>
                <w:b/>
                <w:color w:val="FFFFFF"/>
                <w:sz w:val="16"/>
              </w:rPr>
              <w:t>Public evidence / derivation</w:t>
            </w:r>
          </w:p>
        </w:tc>
        <w:tc>
          <w:tcPr>
            <w:tcW w:type="dxa" w:w="3427"/>
            <w:shd w:fill="1C767D"/>
          </w:tcPr>
          <w:p>
            <w:r>
              <w:rPr>
                <w:b/>
                <w:color w:val="FFFFFF"/>
                <w:sz w:val="16"/>
              </w:rPr>
              <w:t>Planning implication</w:t>
            </w:r>
          </w:p>
        </w:tc>
      </w:tr>
      <w:tr>
        <w:tc>
          <w:tcPr>
            <w:tcW w:type="dxa" w:w="3427"/>
            <w:vAlign w:val="top"/>
          </w:tcPr>
          <w:p>
            <w:r>
              <w:rPr>
                <w:sz w:val="16"/>
              </w:rPr>
              <w:t>Staffing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6"/>
              </w:rPr>
              <w:t>Portuguese law and IPDJ materials require a coordinator and age-based monitor ratios; mixed ages 6–12 create conservative staffing needs. [S01–S03]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6"/>
              </w:rPr>
              <w:t>Bid must show roster, ratios by activity, employment status and backup coverage.</w:t>
            </w:r>
          </w:p>
        </w:tc>
      </w:tr>
      <w:tr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Wages</w:t>
            </w:r>
          </w:p>
        </w:tc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Portugal’s 2026 minimum monthly wage is €920; qualified bilingual, late-shift staff should be budgeted above minimum. [S69]</w:t>
            </w:r>
          </w:p>
        </w:tc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Do not base service quality on minimum wage alone.</w:t>
            </w:r>
          </w:p>
        </w:tc>
      </w:tr>
      <w:tr>
        <w:tc>
          <w:tcPr>
            <w:tcW w:type="dxa" w:w="3427"/>
            <w:vAlign w:val="top"/>
          </w:tcPr>
          <w:p>
            <w:r>
              <w:rPr>
                <w:sz w:val="16"/>
              </w:rPr>
              <w:t>Employer cost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6"/>
              </w:rPr>
              <w:t>Public Portuguese Social Security guidance lists a 23.75% employer contribution benchmark. [S06]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6"/>
              </w:rPr>
              <w:t>Camp operator, not U.S. brand, should employ/manage monitors.</w:t>
            </w:r>
          </w:p>
        </w:tc>
      </w:tr>
      <w:tr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Meals</w:t>
            </w:r>
          </w:p>
        </w:tc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Four dinners/week plus snacks materially exceed normal day-camp catering.</w:t>
            </w:r>
          </w:p>
        </w:tc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Require menu, allergy process, food operator and per-child unit rate.</w:t>
            </w:r>
          </w:p>
        </w:tc>
      </w:tr>
      <w:tr>
        <w:tc>
          <w:tcPr>
            <w:tcW w:type="dxa" w:w="3427"/>
            <w:vAlign w:val="top"/>
          </w:tcPr>
          <w:p>
            <w:r>
              <w:rPr>
                <w:sz w:val="16"/>
              </w:rPr>
              <w:t>Insurance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6"/>
              </w:rPr>
              <w:t>Camp personal-accident and operator cover are mandatory/available; hazardous activities need endorsements. [S04,S79–S80]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6"/>
              </w:rPr>
              <w:t>Insurance must be included in camp bid with certificate and exclusions.</w:t>
            </w:r>
          </w:p>
        </w:tc>
      </w:tr>
      <w:tr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Late shift</w:t>
            </w:r>
          </w:p>
        </w:tc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No public operator publishes the 21:30 finish.</w:t>
            </w:r>
          </w:p>
        </w:tc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Custom premium and transport/safeguarding plan are unavoidable.</w:t>
            </w:r>
          </w:p>
        </w:tc>
      </w:tr>
    </w:tbl>
    <w:p/>
    <w:p>
      <w:pPr>
        <w:pStyle w:val="Heading1"/>
      </w:pPr>
      <w:r>
        <w:t>Legal and operating architecture</w:t>
      </w:r>
    </w:p>
    <w:p>
      <w:r>
        <w:t>The public-law research indicates a package-sensitive product: accommodation, camp and other travel/tourist services are marketed together at an inclusive price. The exact classification, organizer identity, fund flow and tax treatment require fixed-scope Portuguese advice before any reservation payment.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27"/>
        <w:gridCol w:w="3427"/>
        <w:gridCol w:w="3427"/>
      </w:tblGrid>
      <w:tr>
        <w:tc>
          <w:tcPr>
            <w:tcW w:type="dxa" w:w="3427"/>
            <w:shd w:fill="1C767D"/>
          </w:tcPr>
          <w:p>
            <w:r>
              <w:rPr>
                <w:b/>
                <w:color w:val="FFFFFF"/>
                <w:sz w:val="16"/>
              </w:rPr>
              <w:t>Party</w:t>
            </w:r>
          </w:p>
        </w:tc>
        <w:tc>
          <w:tcPr>
            <w:tcW w:type="dxa" w:w="3427"/>
            <w:shd w:fill="1C767D"/>
          </w:tcPr>
          <w:p>
            <w:r>
              <w:rPr>
                <w:b/>
                <w:color w:val="FFFFFF"/>
                <w:sz w:val="16"/>
              </w:rPr>
              <w:t>Recommended responsibility</w:t>
            </w:r>
          </w:p>
        </w:tc>
        <w:tc>
          <w:tcPr>
            <w:tcW w:type="dxa" w:w="3427"/>
            <w:shd w:fill="1C767D"/>
          </w:tcPr>
          <w:p>
            <w:r>
              <w:rPr>
                <w:b/>
                <w:color w:val="FFFFFF"/>
                <w:sz w:val="16"/>
              </w:rPr>
              <w:t>Evidence/gate</w:t>
            </w:r>
          </w:p>
        </w:tc>
      </w:tr>
      <w:tr>
        <w:tc>
          <w:tcPr>
            <w:tcW w:type="dxa" w:w="3427"/>
            <w:vAlign w:val="top"/>
          </w:tcPr>
          <w:p>
            <w:r>
              <w:rPr>
                <w:sz w:val="16"/>
              </w:rPr>
              <w:t>U.S. brand company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6"/>
              </w:rPr>
              <w:t>Brand, marketing, customer insight, community design, partner QA and content. No direct customer fund collection before legal clearance.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6"/>
              </w:rPr>
              <w:t>U.S. seller-of-travel/privacy advice; Portuguese opinion on marketing/referral boundary.</w:t>
            </w:r>
          </w:p>
        </w:tc>
      </w:tr>
      <w:tr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Portuguese RNAVT organizer / merchant of record</w:t>
            </w:r>
          </w:p>
        </w:tc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Customer contract, package disclosures, funds, refunds, supplier contracts, assistance, tax/TAMS treatment and insolvency/RC framework.</w:t>
            </w:r>
          </w:p>
        </w:tc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Current RNAVT entry, liability policy, FGVT status and written MoR bid. [S75–S77]</w:t>
            </w:r>
          </w:p>
        </w:tc>
      </w:tr>
      <w:tr>
        <w:tc>
          <w:tcPr>
            <w:tcW w:type="dxa" w:w="3427"/>
            <w:vAlign w:val="top"/>
          </w:tcPr>
          <w:p>
            <w:r>
              <w:rPr>
                <w:sz w:val="16"/>
              </w:rPr>
              <w:t>IPDJ-registered camp operator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6"/>
              </w:rPr>
              <w:t>All child programming, staff, ratios, safeguarding, meals, venue, camp insurance, records and emergency operations.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6"/>
              </w:rPr>
              <w:t>Official registry record, prior communication evidence and complete custom bid. [S02,S70–S71]</w:t>
            </w:r>
          </w:p>
        </w:tc>
      </w:tr>
      <w:tr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Specialist vendors</w:t>
            </w:r>
          </w:p>
        </w:tc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Surf, transport and excursions under their own registrations, qualified staff and insurance.</w:t>
            </w:r>
          </w:p>
        </w:tc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Certificates, endorsements and contracts in organizer chain.</w:t>
            </w:r>
          </w:p>
        </w:tc>
      </w:tr>
      <w:tr>
        <w:tc>
          <w:tcPr>
            <w:tcW w:type="dxa" w:w="3427"/>
            <w:vAlign w:val="top"/>
          </w:tcPr>
          <w:p>
            <w:r>
              <w:rPr>
                <w:sz w:val="16"/>
              </w:rPr>
              <w:t>Housing suppliers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6"/>
              </w:rPr>
              <w:t>Licensed lodging, exact unit inventory, services, safety and cancellation terms.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6"/>
              </w:rPr>
              <w:t>Unit matrix and registration evidence.</w:t>
            </w:r>
          </w:p>
        </w:tc>
      </w:tr>
    </w:tbl>
    <w:p/>
    <w:p>
      <w:pPr>
        <w:pStyle w:val="SmallNote"/>
      </w:pPr>
      <w:r>
        <w:t>Public evidence: [S01–S12, S75–S78, S87]</w:t>
      </w:r>
    </w:p>
    <w:p>
      <w:pPr>
        <w:pStyle w:val="Heading2"/>
      </w:pPr>
      <w:r>
        <w:t>Public RNAVT discovery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27"/>
        <w:gridCol w:w="3427"/>
        <w:gridCol w:w="3427"/>
      </w:tblGrid>
      <w:tr>
        <w:tc>
          <w:tcPr>
            <w:tcW w:type="dxa" w:w="3427"/>
            <w:shd w:fill="1C767D"/>
          </w:tcPr>
          <w:p>
            <w:r>
              <w:rPr>
                <w:b/>
                <w:color w:val="FFFFFF"/>
                <w:sz w:val="16"/>
              </w:rPr>
              <w:t>Candidate</w:t>
            </w:r>
          </w:p>
        </w:tc>
        <w:tc>
          <w:tcPr>
            <w:tcW w:type="dxa" w:w="3427"/>
            <w:shd w:fill="1C767D"/>
          </w:tcPr>
          <w:p>
            <w:r>
              <w:rPr>
                <w:b/>
                <w:color w:val="FFFFFF"/>
                <w:sz w:val="16"/>
              </w:rPr>
              <w:t>Observed registry/coverage evidence</w:t>
            </w:r>
          </w:p>
        </w:tc>
        <w:tc>
          <w:tcPr>
            <w:tcW w:type="dxa" w:w="3427"/>
            <w:shd w:fill="1C767D"/>
          </w:tcPr>
          <w:p>
            <w:r>
              <w:rPr>
                <w:b/>
                <w:color w:val="FFFFFF"/>
                <w:sz w:val="16"/>
              </w:rPr>
              <w:t>Current limitation</w:t>
            </w:r>
          </w:p>
        </w:tc>
      </w:tr>
      <w:tr>
        <w:tc>
          <w:tcPr>
            <w:tcW w:type="dxa" w:w="3427"/>
            <w:vAlign w:val="top"/>
          </w:tcPr>
          <w:p>
            <w:r>
              <w:rPr>
                <w:sz w:val="16"/>
              </w:rPr>
              <w:t>Door Travel / D Travel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6"/>
              </w:rPr>
              <w:t>RNAVT 5243; public registry snapshot showed liability and FGVT information.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6"/>
              </w:rPr>
              <w:t>Coverage must be current for July 2027; no commercial quote.</w:t>
            </w:r>
          </w:p>
        </w:tc>
      </w:tr>
      <w:tr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Travel Store</w:t>
            </w:r>
          </w:p>
        </w:tc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RNAVT 2229; public registry snapshot.</w:t>
            </w:r>
          </w:p>
        </w:tc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Renewal timing and MoR appetite unverified.</w:t>
            </w:r>
          </w:p>
        </w:tc>
      </w:tr>
      <w:tr>
        <w:tc>
          <w:tcPr>
            <w:tcW w:type="dxa" w:w="3427"/>
            <w:vAlign w:val="top"/>
          </w:tcPr>
          <w:p>
            <w:r>
              <w:rPr>
                <w:sz w:val="16"/>
              </w:rPr>
              <w:t>Be In Travel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6"/>
              </w:rPr>
              <w:t>RNAVT 8116; public registry snapshot.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6"/>
              </w:rPr>
              <w:t>No quote or appointment.</w:t>
            </w:r>
          </w:p>
        </w:tc>
      </w:tr>
      <w:tr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Viagem à Vista</w:t>
            </w:r>
          </w:p>
        </w:tc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RNAVT 3840; public registry snapshot.</w:t>
            </w:r>
          </w:p>
        </w:tc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No quote or appointment.</w:t>
            </w:r>
          </w:p>
        </w:tc>
      </w:tr>
      <w:tr>
        <w:tc>
          <w:tcPr>
            <w:tcW w:type="dxa" w:w="3427"/>
            <w:vAlign w:val="top"/>
          </w:tcPr>
          <w:p>
            <w:r>
              <w:rPr>
                <w:sz w:val="16"/>
              </w:rPr>
              <w:t>Lisboa Sightseeing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6"/>
              </w:rPr>
              <w:t>Publicly markets DMC/group capability and an RNAVT number.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6"/>
              </w:rPr>
              <w:t>Official registry, insurance and exact legal entity must be reverified.</w:t>
            </w:r>
          </w:p>
        </w:tc>
      </w:tr>
    </w:tbl>
    <w:p/>
    <w:p>
      <w:r>
        <w:t>Official public benchmarks show an RNAVT registration fee and an initial guarantee-fund contribution, but those statutory costs do not establish a commercial organizer fee. The model retains an 8%–15% DMC/organizer range and a 10% base cap until same-scope bids arrive. [S75–S77]</w:t>
      </w:r>
    </w:p>
    <w:p>
      <w:pPr>
        <w:pStyle w:val="Heading1"/>
      </w:pPr>
      <w:r>
        <w:t>Insurance evidence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27"/>
        <w:gridCol w:w="3427"/>
        <w:gridCol w:w="3427"/>
      </w:tblGrid>
      <w:tr>
        <w:tc>
          <w:tcPr>
            <w:tcW w:type="dxa" w:w="3427"/>
            <w:shd w:fill="1C767D"/>
          </w:tcPr>
          <w:p>
            <w:r>
              <w:rPr>
                <w:b/>
                <w:color w:val="FFFFFF"/>
                <w:sz w:val="16"/>
              </w:rPr>
              <w:t>Layer</w:t>
            </w:r>
          </w:p>
        </w:tc>
        <w:tc>
          <w:tcPr>
            <w:tcW w:type="dxa" w:w="3427"/>
            <w:shd w:fill="1C767D"/>
          </w:tcPr>
          <w:p>
            <w:r>
              <w:rPr>
                <w:b/>
                <w:color w:val="FFFFFF"/>
                <w:sz w:val="16"/>
              </w:rPr>
              <w:t>Public evidence</w:t>
            </w:r>
          </w:p>
        </w:tc>
        <w:tc>
          <w:tcPr>
            <w:tcW w:type="dxa" w:w="3427"/>
            <w:shd w:fill="1C767D"/>
          </w:tcPr>
          <w:p>
            <w:r>
              <w:rPr>
                <w:b/>
                <w:color w:val="FFFFFF"/>
                <w:sz w:val="16"/>
              </w:rPr>
              <w:t>Decision treatment</w:t>
            </w:r>
          </w:p>
        </w:tc>
      </w:tr>
      <w:tr>
        <w:tc>
          <w:tcPr>
            <w:tcW w:type="dxa" w:w="3427"/>
            <w:vAlign w:val="top"/>
          </w:tcPr>
          <w:p>
            <w:r>
              <w:rPr>
                <w:sz w:val="16"/>
              </w:rPr>
              <w:t>Camp personal accident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6"/>
              </w:rPr>
              <w:t>Mandatory framework and public historical pricing/coverage examples exist. [S04,S79]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6"/>
              </w:rPr>
              <w:t>Included in camp bid; policy schedule must cover dates, participants and activities.</w:t>
            </w:r>
          </w:p>
        </w:tc>
      </w:tr>
      <w:tr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Camp/operator liability</w:t>
            </w:r>
          </w:p>
        </w:tc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Public Portuguese tourist-animation/holiday-camp products exist. [S80]</w:t>
            </w:r>
          </w:p>
        </w:tc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Operator certificate and exclusions required.</w:t>
            </w:r>
          </w:p>
        </w:tc>
      </w:tr>
      <w:tr>
        <w:tc>
          <w:tcPr>
            <w:tcW w:type="dxa" w:w="3427"/>
            <w:vAlign w:val="top"/>
          </w:tcPr>
          <w:p>
            <w:r>
              <w:rPr>
                <w:sz w:val="16"/>
              </w:rPr>
              <w:t>RNAVT organizer liability/guarantee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6"/>
              </w:rPr>
              <w:t>Official registry framework requires liability/guarantee protections. [S75–S77]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6"/>
              </w:rPr>
              <w:t>Organizer must maintain cover through the cohort.</w:t>
            </w:r>
          </w:p>
        </w:tc>
      </w:tr>
      <w:tr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U.S. brand GL/E&amp;O</w:t>
            </w:r>
          </w:p>
        </w:tc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No public quote matches U.S. marketing + minors + Portugal + package-sensitive product.</w:t>
            </w:r>
          </w:p>
        </w:tc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Model range €2,000–€6,000; must be replaced by bindable underwriting.</w:t>
            </w:r>
          </w:p>
        </w:tc>
      </w:tr>
      <w:tr>
        <w:tc>
          <w:tcPr>
            <w:tcW w:type="dxa" w:w="3427"/>
            <w:vAlign w:val="top"/>
          </w:tcPr>
          <w:p>
            <w:r>
              <w:rPr>
                <w:sz w:val="16"/>
              </w:rPr>
              <w:t>Surf, motor, food, cyber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6"/>
              </w:rPr>
              <w:t>Potential exclusions and separate vendor policies.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6"/>
              </w:rPr>
              <w:t>Each activity/vendor must be specifically scheduled or endorsed.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82"/>
      </w:tblGrid>
      <w:tr>
        <w:tc>
          <w:tcPr>
            <w:tcW w:type="dxa" w:w="10282"/>
            <w:shd w:fill="FFF2CC"/>
          </w:tcPr>
          <w:p>
            <w:r>
              <w:rPr>
                <w:b/>
                <w:color w:val="1B3959"/>
              </w:rPr>
              <w:t>Insurance conclusion</w:t>
            </w:r>
            <w:r>
              <w:br/>
              <w:t>The statutory camp policy itself is unlikely to be the major cost. The material unknown is cross-border brand/program liability, defense territory, U.S. claim exposure and hazardous-activity exclusions.</w:t>
            </w:r>
          </w:p>
        </w:tc>
      </w:tr>
    </w:tbl>
    <w:p/>
    <w:p>
      <w:pPr>
        <w:pStyle w:val="Heading1"/>
      </w:pPr>
      <w:r>
        <w:t>Economics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69"/>
        <w:gridCol w:w="1469"/>
        <w:gridCol w:w="1469"/>
        <w:gridCol w:w="1469"/>
        <w:gridCol w:w="1469"/>
        <w:gridCol w:w="1469"/>
        <w:gridCol w:w="1469"/>
      </w:tblGrid>
      <w:tr>
        <w:tc>
          <w:tcPr>
            <w:tcW w:type="dxa" w:w="1469"/>
            <w:shd w:fill="1C767D"/>
          </w:tcPr>
          <w:p>
            <w:r>
              <w:rPr>
                <w:b/>
                <w:color w:val="FFFFFF"/>
                <w:sz w:val="16"/>
              </w:rPr>
              <w:t>Scenario</w:t>
            </w:r>
          </w:p>
        </w:tc>
        <w:tc>
          <w:tcPr>
            <w:tcW w:type="dxa" w:w="1469"/>
            <w:shd w:fill="1C767D"/>
          </w:tcPr>
          <w:p>
            <w:r>
              <w:rPr>
                <w:b/>
                <w:color w:val="FFFFFF"/>
                <w:sz w:val="16"/>
              </w:rPr>
              <w:t>Families</w:t>
            </w:r>
          </w:p>
        </w:tc>
        <w:tc>
          <w:tcPr>
            <w:tcW w:type="dxa" w:w="1469"/>
            <w:shd w:fill="1C767D"/>
          </w:tcPr>
          <w:p>
            <w:r>
              <w:rPr>
                <w:b/>
                <w:color w:val="FFFFFF"/>
                <w:sz w:val="16"/>
              </w:rPr>
              <w:t>Revenue</w:t>
            </w:r>
          </w:p>
        </w:tc>
        <w:tc>
          <w:tcPr>
            <w:tcW w:type="dxa" w:w="1469"/>
            <w:shd w:fill="1C767D"/>
          </w:tcPr>
          <w:p>
            <w:r>
              <w:rPr>
                <w:b/>
                <w:color w:val="FFFFFF"/>
                <w:sz w:val="16"/>
              </w:rPr>
              <w:t>Variable cost</w:t>
            </w:r>
          </w:p>
        </w:tc>
        <w:tc>
          <w:tcPr>
            <w:tcW w:type="dxa" w:w="1469"/>
            <w:shd w:fill="1C767D"/>
          </w:tcPr>
          <w:p>
            <w:r>
              <w:rPr>
                <w:b/>
                <w:color w:val="FFFFFF"/>
                <w:sz w:val="16"/>
              </w:rPr>
              <w:t>Contribution margin</w:t>
            </w:r>
          </w:p>
        </w:tc>
        <w:tc>
          <w:tcPr>
            <w:tcW w:type="dxa" w:w="1469"/>
            <w:shd w:fill="1C767D"/>
          </w:tcPr>
          <w:p>
            <w:r>
              <w:rPr>
                <w:b/>
                <w:color w:val="FFFFFF"/>
                <w:sz w:val="16"/>
              </w:rPr>
              <w:t>First-year result</w:t>
            </w:r>
          </w:p>
        </w:tc>
        <w:tc>
          <w:tcPr>
            <w:tcW w:type="dxa" w:w="1469"/>
            <w:shd w:fill="1C767D"/>
          </w:tcPr>
          <w:p>
            <w:r>
              <w:rPr>
                <w:b/>
                <w:color w:val="FFFFFF"/>
                <w:sz w:val="16"/>
              </w:rPr>
              <w:t>Break-even families</w:t>
            </w:r>
          </w:p>
        </w:tc>
      </w:tr>
      <w:tr>
        <w:tc>
          <w:tcPr>
            <w:tcW w:type="dxa" w:w="1469"/>
            <w:vAlign w:val="top"/>
          </w:tcPr>
          <w:p>
            <w:r>
              <w:rPr>
                <w:sz w:val="16"/>
              </w:rPr>
              <w:t>Cascais low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6"/>
              </w:rPr>
              <w:t>18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6"/>
              </w:rPr>
              <w:t>€258,800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6"/>
              </w:rPr>
              <w:t>€128,536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6"/>
              </w:rPr>
              <w:t>50.3%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6"/>
              </w:rPr>
              <w:t>€60,264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6"/>
              </w:rPr>
              <w:t>9.7</w:t>
            </w:r>
          </w:p>
        </w:tc>
      </w:tr>
      <w:tr>
        <w:tc>
          <w:tcPr>
            <w:tcW w:type="dxa" w:w="1469"/>
            <w:vAlign w:val="top"/>
            <w:shd w:fill="F1F5F8"/>
          </w:tcPr>
          <w:p>
            <w:r>
              <w:rPr>
                <w:sz w:val="16"/>
              </w:rPr>
              <w:t>Cascais base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6"/>
              </w:rPr>
              <w:t>18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6"/>
              </w:rPr>
              <w:t>€263,400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6"/>
              </w:rPr>
              <w:t>€169,273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6"/>
              </w:rPr>
              <w:t>35.7%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6"/>
              </w:rPr>
              <w:t>€15,627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6"/>
              </w:rPr>
              <w:t>15.0</w:t>
            </w:r>
          </w:p>
        </w:tc>
      </w:tr>
      <w:tr>
        <w:tc>
          <w:tcPr>
            <w:tcW w:type="dxa" w:w="1469"/>
            <w:vAlign w:val="top"/>
          </w:tcPr>
          <w:p>
            <w:r>
              <w:rPr>
                <w:sz w:val="16"/>
              </w:rPr>
              <w:t>Cascais high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6"/>
              </w:rPr>
              <w:t>18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6"/>
              </w:rPr>
              <w:t>€268,000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6"/>
              </w:rPr>
              <w:t>€238,260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6"/>
              </w:rPr>
              <w:t>11.1%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6"/>
              </w:rPr>
              <w:t>–€70,260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6"/>
              </w:rPr>
              <w:t>60.5</w:t>
            </w:r>
          </w:p>
        </w:tc>
      </w:tr>
      <w:tr>
        <w:tc>
          <w:tcPr>
            <w:tcW w:type="dxa" w:w="1469"/>
            <w:vAlign w:val="top"/>
            <w:shd w:fill="F1F5F8"/>
          </w:tcPr>
          <w:p>
            <w:r>
              <w:rPr>
                <w:sz w:val="16"/>
              </w:rPr>
              <w:t>Porto base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6"/>
              </w:rPr>
              <w:t>18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6"/>
              </w:rPr>
              <w:t>€237,600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6"/>
              </w:rPr>
              <w:t>€138,000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6"/>
              </w:rPr>
              <w:t>41.9%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6"/>
              </w:rPr>
              <w:t>€23,100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6"/>
              </w:rPr>
              <w:t>13.8</w:t>
            </w:r>
          </w:p>
        </w:tc>
      </w:tr>
    </w:tbl>
    <w:p/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126480" cy="344614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cenario_result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4461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Base-case pricing is a market test, not validated demand: Cascais €13,100 for two adults + one child and €15,400 for a family of four; Porto €11,800 and €13,900 respectively. Airfare and most parent food are outside the program price.</w:t>
      </w:r>
    </w:p>
    <w:p>
      <w:pPr>
        <w:pStyle w:val="ListBullet"/>
      </w:pPr>
      <w:r>
        <w:rPr>
          <w:b/>
        </w:rPr>
        <w:t xml:space="preserve">Cascais base: </w:t>
      </w:r>
      <w:r>
        <w:t>€263,400 revenue, 35.7% contribution margin, €15,627 first-year result and 15-family full first-year break-even.</w:t>
      </w:r>
    </w:p>
    <w:p>
      <w:pPr>
        <w:pStyle w:val="ListBullet"/>
      </w:pPr>
      <w:r>
        <w:rPr>
          <w:b/>
        </w:rPr>
        <w:t xml:space="preserve">Porto base: </w:t>
      </w:r>
      <w:r>
        <w:t>€237,600 revenue, 41.9% contribution margin, €23,100 first-year result and 13.8-family full first-year break-even.</w:t>
      </w:r>
    </w:p>
    <w:p>
      <w:pPr>
        <w:pStyle w:val="ListBullet"/>
      </w:pPr>
      <w:r>
        <w:rPr>
          <w:b/>
        </w:rPr>
        <w:t xml:space="preserve">High-cost failure: </w:t>
      </w:r>
      <w:r>
        <w:t>Cascais at €4,500 housing, €1,850 camp and 15% organizer fee collapses to an 11.1% contribution margin and a €70,260 first-year loss.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82"/>
      </w:tblGrid>
      <w:tr>
        <w:tc>
          <w:tcPr>
            <w:tcW w:type="dxa" w:w="10282"/>
            <w:shd w:fill="FFF2CC"/>
          </w:tcPr>
          <w:p>
            <w:r>
              <w:rPr>
                <w:b/>
                <w:color w:val="1B3959"/>
              </w:rPr>
              <w:t>Economic rule</w:t>
            </w:r>
            <w:r>
              <w:br/>
              <w:t>Do not “make it work” by hiding costs. If same-scope bids push contribution margin below 30%, or if full first-year break-even exceeds 15 signed families, stop or redesign.</w:t>
            </w:r>
          </w:p>
        </w:tc>
      </w:tr>
    </w:tbl>
    <w:p/>
    <w:p>
      <w:pPr>
        <w:pStyle w:val="Heading1"/>
      </w:pPr>
      <w:r>
        <w:t>Competitor and substitution pressure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27"/>
        <w:gridCol w:w="3427"/>
        <w:gridCol w:w="3427"/>
      </w:tblGrid>
      <w:tr>
        <w:tc>
          <w:tcPr>
            <w:tcW w:type="dxa" w:w="3427"/>
            <w:shd w:fill="1C767D"/>
          </w:tcPr>
          <w:p>
            <w:r>
              <w:rPr>
                <w:b/>
                <w:color w:val="FFFFFF"/>
                <w:sz w:val="16"/>
              </w:rPr>
              <w:t>Alternative</w:t>
            </w:r>
          </w:p>
        </w:tc>
        <w:tc>
          <w:tcPr>
            <w:tcW w:type="dxa" w:w="3427"/>
            <w:shd w:fill="1C767D"/>
          </w:tcPr>
          <w:p>
            <w:r>
              <w:rPr>
                <w:b/>
                <w:color w:val="FFFFFF"/>
                <w:sz w:val="16"/>
              </w:rPr>
              <w:t>Public signal</w:t>
            </w:r>
          </w:p>
        </w:tc>
        <w:tc>
          <w:tcPr>
            <w:tcW w:type="dxa" w:w="3427"/>
            <w:shd w:fill="1C767D"/>
          </w:tcPr>
          <w:p>
            <w:r>
              <w:rPr>
                <w:b/>
                <w:color w:val="FFFFFF"/>
                <w:sz w:val="16"/>
              </w:rPr>
              <w:t>Implication</w:t>
            </w:r>
          </w:p>
        </w:tc>
      </w:tr>
      <w:tr>
        <w:tc>
          <w:tcPr>
            <w:tcW w:type="dxa" w:w="3427"/>
            <w:vAlign w:val="top"/>
          </w:tcPr>
          <w:p>
            <w:r>
              <w:rPr>
                <w:sz w:val="16"/>
              </w:rPr>
              <w:t>Roam Collective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6"/>
              </w:rPr>
              <w:t>Public 2026 evidence indicates a five-week benchmark starting at €8,500 for one adult + one child, with additional-person pricing; Roam also reports a meaningful 2026 cohort. [S38–S39]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6"/>
              </w:rPr>
              <w:t>Proves category activity but not this product’s price conversion.</w:t>
            </w:r>
          </w:p>
        </w:tc>
      </w:tr>
      <w:tr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Boundless Life</w:t>
            </w:r>
          </w:p>
        </w:tc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Public 2027 Sintra summer pricing starts materially below the proposed family price and includes housing/education/community in the starting package. [S40]</w:t>
            </w:r>
          </w:p>
        </w:tc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The product must win on late hours, camp experience, community and housing—not merely Portugal.</w:t>
            </w:r>
          </w:p>
        </w:tc>
      </w:tr>
      <w:tr>
        <w:tc>
          <w:tcPr>
            <w:tcW w:type="dxa" w:w="3427"/>
            <w:vAlign w:val="top"/>
          </w:tcPr>
          <w:p>
            <w:r>
              <w:rPr>
                <w:sz w:val="16"/>
              </w:rPr>
              <w:t>DIY Porto/Cascais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6"/>
              </w:rPr>
              <w:t>Public housing + normal day camp can be substantially cheaper.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6"/>
              </w:rPr>
              <w:t>Customer pays for coordination, late hours, community, risk reduction and ready-made peers.</w:t>
            </w:r>
          </w:p>
        </w:tc>
      </w:tr>
      <w:tr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Local camps</w:t>
            </w:r>
          </w:p>
        </w:tc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Retail normal-hours programs are inexpensive.</w:t>
            </w:r>
          </w:p>
        </w:tc>
        <w:tc>
          <w:tcPr>
            <w:tcW w:type="dxa" w:w="3427"/>
            <w:vAlign w:val="top"/>
            <w:shd w:fill="F1F5F8"/>
          </w:tcPr>
          <w:p>
            <w:r>
              <w:rPr>
                <w:sz w:val="16"/>
              </w:rPr>
              <w:t>Late-hours extension is the value driver and cost driver.</w:t>
            </w:r>
          </w:p>
        </w:tc>
      </w:tr>
    </w:tbl>
    <w:p/>
    <w:p>
      <w:r>
        <w:t>The key commercial question is not whether families like the idea. It is whether enough families will pay the proposed premium over a DIY month and over packaged alternatives.</w:t>
      </w:r>
    </w:p>
    <w:p>
      <w:pPr>
        <w:pStyle w:val="Heading1"/>
      </w:pPr>
      <w:r>
        <w:t>Demand evidence and validation</w:t>
      </w:r>
    </w:p>
    <w:p>
      <w:pPr>
        <w:pStyle w:val="ListBullet"/>
      </w:pPr>
      <w:r>
        <w:rPr>
          <w:b/>
        </w:rPr>
        <w:t xml:space="preserve">Addressable context: </w:t>
      </w:r>
      <w:r>
        <w:t>U.S. official statistics show a large population of families with children and working parents, and Census data show a large work-from-home population. [S41–S42]</w:t>
      </w:r>
    </w:p>
    <w:p>
      <w:pPr>
        <w:pStyle w:val="ListBullet"/>
      </w:pPr>
      <w:r>
        <w:rPr>
          <w:b/>
        </w:rPr>
        <w:t xml:space="preserve">Pain evidence: </w:t>
      </w:r>
      <w:r>
        <w:t>Recent Pew research reports meaningful difficulty finding summer care among working parents who need care for ages 6–12. [S43]</w:t>
      </w:r>
    </w:p>
    <w:p>
      <w:pPr>
        <w:pStyle w:val="ListBullet"/>
      </w:pPr>
      <w:r>
        <w:rPr>
          <w:b/>
        </w:rPr>
        <w:t xml:space="preserve">What this does not prove: </w:t>
      </w:r>
      <w:r>
        <w:t>It does not prove international travel intent, four-week availability, willingness to pay, or compatibility with shifted work hours.</w:t>
      </w:r>
    </w:p>
    <w:p>
      <w:pPr>
        <w:pStyle w:val="Heading2"/>
      </w:pPr>
      <w:r>
        <w:t>Paid reservation protocol</w:t>
      </w:r>
    </w:p>
    <w:p>
      <w:pPr>
        <w:pStyle w:val="ListNumber"/>
      </w:pPr>
      <w:r>
        <w:t>Complete the legal/MoR fund-flow gate before accepting any payment.</w:t>
      </w:r>
    </w:p>
    <w:p>
      <w:pPr>
        <w:pStyle w:val="ListNumber"/>
      </w:pPr>
      <w:r>
        <w:t>Publish both city concepts with exact dates, hours, inclusions, exclusions, price and refund terms.</w:t>
      </w:r>
    </w:p>
    <w:p>
      <w:pPr>
        <w:pStyle w:val="ListNumber"/>
      </w:pPr>
      <w:r>
        <w:t>Collect a €250 priority reservation that is fully refundable, credited to the program and held/refunded by the compliant merchant of record.</w:t>
      </w:r>
    </w:p>
    <w:p>
      <w:pPr>
        <w:pStyle w:val="ListNumber"/>
      </w:pPr>
      <w:r>
        <w:t>Count only cleared, unique, active customer payments. Exclude staff/founder friends given special terms, duplicates, free signups, survey responses and social engagement.</w:t>
      </w:r>
    </w:p>
    <w:p>
      <w:pPr>
        <w:pStyle w:val="ListNumber"/>
      </w:pPr>
      <w:r>
        <w:t>Required pace: 10 active paid reservations in 30 days; 20 in 60 days; 30–36 in 90 days.</w:t>
      </w:r>
    </w:p>
    <w:p>
      <w:pPr>
        <w:pStyle w:val="ListNumber"/>
      </w:pPr>
      <w:r>
        <w:t>Select the city using written supplier economics plus paid conversion, not founder preference.</w:t>
      </w:r>
    </w:p>
    <w:p>
      <w:pPr>
        <w:pStyle w:val="ListNumber"/>
      </w:pPr>
      <w:r>
        <w:t>Convert to signed program contracts; require at least 15 signed families by 31 January 2027.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82"/>
      </w:tblGrid>
      <w:tr>
        <w:tc>
          <w:tcPr>
            <w:tcW w:type="dxa" w:w="10282"/>
            <w:shd w:fill="FFF2CC"/>
          </w:tcPr>
          <w:p>
            <w:r>
              <w:rPr>
                <w:b/>
                <w:color w:val="1B3959"/>
              </w:rPr>
              <w:t>Validation rule</w:t>
            </w:r>
            <w:r>
              <w:br/>
              <w:t>A free waitlist may help build an audience, but it contributes zero to the launch gate.</w:t>
            </w:r>
          </w:p>
        </w:tc>
      </w:tr>
    </w:tbl>
    <w:p/>
    <w:p>
      <w:pPr>
        <w:pStyle w:val="Heading1"/>
      </w:pPr>
      <w:r>
        <w:t>Hard launch gates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27"/>
        <w:gridCol w:w="3427"/>
        <w:gridCol w:w="3427"/>
      </w:tblGrid>
      <w:tr>
        <w:tc>
          <w:tcPr>
            <w:tcW w:type="dxa" w:w="3427"/>
            <w:shd w:fill="1C767D"/>
          </w:tcPr>
          <w:p>
            <w:r>
              <w:rPr>
                <w:b/>
                <w:color w:val="FFFFFF"/>
                <w:sz w:val="15"/>
              </w:rPr>
              <w:t>Gate</w:t>
            </w:r>
          </w:p>
        </w:tc>
        <w:tc>
          <w:tcPr>
            <w:tcW w:type="dxa" w:w="3427"/>
            <w:shd w:fill="1C767D"/>
          </w:tcPr>
          <w:p>
            <w:r>
              <w:rPr>
                <w:b/>
                <w:color w:val="FFFFFF"/>
                <w:sz w:val="15"/>
              </w:rPr>
              <w:t>Pass standard</w:t>
            </w:r>
          </w:p>
        </w:tc>
        <w:tc>
          <w:tcPr>
            <w:tcW w:type="dxa" w:w="3427"/>
            <w:shd w:fill="1C767D"/>
          </w:tcPr>
          <w:p>
            <w:r>
              <w:rPr>
                <w:b/>
                <w:color w:val="FFFFFF"/>
                <w:sz w:val="15"/>
              </w:rPr>
              <w:t>Deadline logic</w:t>
            </w:r>
          </w:p>
        </w:tc>
      </w:tr>
      <w:tr>
        <w:tc>
          <w:tcPr>
            <w:tcW w:type="dxa" w:w="3427"/>
            <w:vAlign w:val="top"/>
          </w:tcPr>
          <w:p>
            <w:r>
              <w:rPr>
                <w:sz w:val="15"/>
              </w:rPr>
              <w:t>Portuguese legal/tax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5"/>
              </w:rPr>
              <w:t>Fixed written opinion for package classification, organizer, TAMS/VAT, camp boundary, employment/PE, lodging, minors/privacy and consumer terms.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5"/>
              </w:rPr>
              <w:t>Before marketing a paid reservation</w:t>
            </w:r>
          </w:p>
        </w:tc>
      </w:tr>
      <w:tr>
        <w:tc>
          <w:tcPr>
            <w:tcW w:type="dxa" w:w="3427"/>
            <w:vAlign w:val="top"/>
            <w:shd w:fill="F1F5F8"/>
          </w:tcPr>
          <w:p>
            <w:r>
              <w:rPr>
                <w:sz w:val="15"/>
              </w:rPr>
              <w:t>U.S. legal</w:t>
            </w:r>
          </w:p>
        </w:tc>
        <w:tc>
          <w:tcPr>
            <w:tcW w:type="dxa" w:w="3427"/>
            <w:vAlign w:val="top"/>
            <w:shd w:fill="F1F5F8"/>
          </w:tcPr>
          <w:p>
            <w:r>
              <w:rPr>
                <w:sz w:val="15"/>
              </w:rPr>
              <w:t>Written treatment of CA/FL/WA seller-of-travel exposure, refundable reservation collection, privacy and marketing/referral structure.</w:t>
            </w:r>
          </w:p>
        </w:tc>
        <w:tc>
          <w:tcPr>
            <w:tcW w:type="dxa" w:w="3427"/>
            <w:vAlign w:val="top"/>
            <w:shd w:fill="F1F5F8"/>
          </w:tcPr>
          <w:p>
            <w:r>
              <w:rPr>
                <w:sz w:val="15"/>
              </w:rPr>
              <w:t>Before taking money</w:t>
            </w:r>
          </w:p>
        </w:tc>
      </w:tr>
      <w:tr>
        <w:tc>
          <w:tcPr>
            <w:tcW w:type="dxa" w:w="3427"/>
            <w:vAlign w:val="top"/>
          </w:tcPr>
          <w:p>
            <w:r>
              <w:rPr>
                <w:sz w:val="15"/>
              </w:rPr>
              <w:t>RNAVT/MoR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5"/>
              </w:rPr>
              <w:t>Current registry, RC policy, FGVT, MoR function, English customer terms, refund SLA and fee ≤10% absent repricing.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5"/>
              </w:rPr>
              <w:t>Before reservation launch</w:t>
            </w:r>
          </w:p>
        </w:tc>
      </w:tr>
      <w:tr>
        <w:tc>
          <w:tcPr>
            <w:tcW w:type="dxa" w:w="3427"/>
            <w:vAlign w:val="top"/>
            <w:shd w:fill="F1F5F8"/>
          </w:tcPr>
          <w:p>
            <w:r>
              <w:rPr>
                <w:sz w:val="15"/>
              </w:rPr>
              <w:t>Camp</w:t>
            </w:r>
          </w:p>
        </w:tc>
        <w:tc>
          <w:tcPr>
            <w:tcW w:type="dxa" w:w="3427"/>
            <w:vAlign w:val="top"/>
            <w:shd w:fill="F1F5F8"/>
          </w:tcPr>
          <w:p>
            <w:r>
              <w:rPr>
                <w:sz w:val="15"/>
              </w:rPr>
              <w:t>IPDJ registration; custom full-scope bid; staff/ratios; safeguarding; venue; meals; insurance; transport; emergency plan.</w:t>
            </w:r>
          </w:p>
        </w:tc>
        <w:tc>
          <w:tcPr>
            <w:tcW w:type="dxa" w:w="3427"/>
            <w:vAlign w:val="top"/>
            <w:shd w:fill="F1F5F8"/>
          </w:tcPr>
          <w:p>
            <w:r>
              <w:rPr>
                <w:sz w:val="15"/>
              </w:rPr>
              <w:t>Before selecting city</w:t>
            </w:r>
          </w:p>
        </w:tc>
      </w:tr>
      <w:tr>
        <w:tc>
          <w:tcPr>
            <w:tcW w:type="dxa" w:w="3427"/>
            <w:vAlign w:val="top"/>
          </w:tcPr>
          <w:p>
            <w:r>
              <w:rPr>
                <w:sz w:val="15"/>
              </w:rPr>
              <w:t>Housing Cascais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5"/>
              </w:rPr>
              <w:t>18 units, average ≤€3,650; exact matrix; acceptable clustering/cancellation.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5"/>
              </w:rPr>
              <w:t>Before material commitment</w:t>
            </w:r>
          </w:p>
        </w:tc>
      </w:tr>
      <w:tr>
        <w:tc>
          <w:tcPr>
            <w:tcW w:type="dxa" w:w="3427"/>
            <w:vAlign w:val="top"/>
            <w:shd w:fill="F1F5F8"/>
          </w:tcPr>
          <w:p>
            <w:r>
              <w:rPr>
                <w:sz w:val="15"/>
              </w:rPr>
              <w:t>Housing Porto</w:t>
            </w:r>
          </w:p>
        </w:tc>
        <w:tc>
          <w:tcPr>
            <w:tcW w:type="dxa" w:w="3427"/>
            <w:vAlign w:val="top"/>
            <w:shd w:fill="F1F5F8"/>
          </w:tcPr>
          <w:p>
            <w:r>
              <w:rPr>
                <w:sz w:val="15"/>
              </w:rPr>
              <w:t>18 units, average ≤€2,500; exact matrix; acceptable clustering/cancellation.</w:t>
            </w:r>
          </w:p>
        </w:tc>
        <w:tc>
          <w:tcPr>
            <w:tcW w:type="dxa" w:w="3427"/>
            <w:vAlign w:val="top"/>
            <w:shd w:fill="F1F5F8"/>
          </w:tcPr>
          <w:p>
            <w:r>
              <w:rPr>
                <w:sz w:val="15"/>
              </w:rPr>
              <w:t>Before material commitment</w:t>
            </w:r>
          </w:p>
        </w:tc>
      </w:tr>
      <w:tr>
        <w:tc>
          <w:tcPr>
            <w:tcW w:type="dxa" w:w="3427"/>
            <w:vAlign w:val="top"/>
          </w:tcPr>
          <w:p>
            <w:r>
              <w:rPr>
                <w:sz w:val="15"/>
              </w:rPr>
              <w:t>Insurance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5"/>
              </w:rPr>
              <w:t>Bindable cross-border brand/program terms and all vendor certificates/endorsements.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5"/>
              </w:rPr>
              <w:t>Before sale</w:t>
            </w:r>
          </w:p>
        </w:tc>
      </w:tr>
      <w:tr>
        <w:tc>
          <w:tcPr>
            <w:tcW w:type="dxa" w:w="3427"/>
            <w:vAlign w:val="top"/>
            <w:shd w:fill="F1F5F8"/>
          </w:tcPr>
          <w:p>
            <w:r>
              <w:rPr>
                <w:sz w:val="15"/>
              </w:rPr>
              <w:t>Economics</w:t>
            </w:r>
          </w:p>
        </w:tc>
        <w:tc>
          <w:tcPr>
            <w:tcW w:type="dxa" w:w="3427"/>
            <w:vAlign w:val="top"/>
            <w:shd w:fill="F1F5F8"/>
          </w:tcPr>
          <w:p>
            <w:r>
              <w:rPr>
                <w:sz w:val="15"/>
              </w:rPr>
              <w:t>Contribution margin ≥35% target, 30% absolute floor; full first-year break-even ≤15 families.</w:t>
            </w:r>
          </w:p>
        </w:tc>
        <w:tc>
          <w:tcPr>
            <w:tcW w:type="dxa" w:w="3427"/>
            <w:vAlign w:val="top"/>
            <w:shd w:fill="F1F5F8"/>
          </w:tcPr>
          <w:p>
            <w:r>
              <w:rPr>
                <w:sz w:val="15"/>
              </w:rPr>
              <w:t>After bid normalization</w:t>
            </w:r>
          </w:p>
        </w:tc>
      </w:tr>
      <w:tr>
        <w:tc>
          <w:tcPr>
            <w:tcW w:type="dxa" w:w="3427"/>
            <w:vAlign w:val="top"/>
          </w:tcPr>
          <w:p>
            <w:r>
              <w:rPr>
                <w:sz w:val="15"/>
              </w:rPr>
              <w:t>Paid demand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5"/>
              </w:rPr>
              <w:t>10/30d; 20/60d; 30–36/90d; ≥15 signed by 31 Jan 2027.</w:t>
            </w:r>
          </w:p>
        </w:tc>
        <w:tc>
          <w:tcPr>
            <w:tcW w:type="dxa" w:w="3427"/>
            <w:vAlign w:val="top"/>
          </w:tcPr>
          <w:p>
            <w:r>
              <w:rPr>
                <w:sz w:val="15"/>
              </w:rPr>
              <w:t>Before nonrefundable inventory</w:t>
            </w:r>
          </w:p>
        </w:tc>
      </w:tr>
      <w:tr>
        <w:tc>
          <w:tcPr>
            <w:tcW w:type="dxa" w:w="3427"/>
            <w:vAlign w:val="top"/>
            <w:shd w:fill="F1F5F8"/>
          </w:tcPr>
          <w:p>
            <w:r>
              <w:rPr>
                <w:sz w:val="15"/>
              </w:rPr>
              <w:t>Working capital</w:t>
            </w:r>
          </w:p>
        </w:tc>
        <w:tc>
          <w:tcPr>
            <w:tcW w:type="dxa" w:w="3427"/>
            <w:vAlign w:val="top"/>
            <w:shd w:fill="F1F5F8"/>
          </w:tcPr>
          <w:p>
            <w:r>
              <w:rPr>
                <w:sz w:val="15"/>
              </w:rPr>
              <w:t>Nonrefundable supplier exposure fully covered by collected, legally usable customer capital plus reserve.</w:t>
            </w:r>
          </w:p>
        </w:tc>
        <w:tc>
          <w:tcPr>
            <w:tcW w:type="dxa" w:w="3427"/>
            <w:vAlign w:val="top"/>
            <w:shd w:fill="F1F5F8"/>
          </w:tcPr>
          <w:p>
            <w:r>
              <w:rPr>
                <w:sz w:val="15"/>
              </w:rPr>
              <w:t>At every commitment</w:t>
            </w:r>
          </w:p>
        </w:tc>
      </w:tr>
    </w:tbl>
    <w:p/>
    <w:p>
      <w:pPr>
        <w:pStyle w:val="Heading1"/>
      </w:pPr>
      <w:r>
        <w:t>Recommended execution sequence</w:t>
      </w:r>
    </w:p>
    <w:p>
      <w:pPr>
        <w:pStyle w:val="ListNumber"/>
      </w:pPr>
      <w:r>
        <w:t>Issue identical RFPs to the Cascais and Porto camp, housing and RNAVT shortlists.</w:t>
      </w:r>
    </w:p>
    <w:p>
      <w:pPr>
        <w:pStyle w:val="ListNumber"/>
      </w:pPr>
      <w:r>
        <w:t>Commission fixed-scope Portuguese legal/tax review using the included legal brief; in parallel commission U.S. seller-of-travel/privacy review.</w:t>
      </w:r>
    </w:p>
    <w:p>
      <w:pPr>
        <w:pStyle w:val="ListNumber"/>
      </w:pPr>
      <w:r>
        <w:t>Normalize written bids into the workbook. Reject incomplete supplier responses rather than filling gaps with optimism.</w:t>
      </w:r>
    </w:p>
    <w:p>
      <w:pPr>
        <w:pStyle w:val="ListNumber"/>
      </w:pPr>
      <w:r>
        <w:t>Obtain bindable insurance indications for the exact fact pattern and activity set.</w:t>
      </w:r>
    </w:p>
    <w:p>
      <w:pPr>
        <w:pStyle w:val="ListNumber"/>
      </w:pPr>
      <w:r>
        <w:t>Run a legal-compliant paid/reservable two-city price test.</w:t>
      </w:r>
    </w:p>
    <w:p>
      <w:pPr>
        <w:pStyle w:val="ListNumber"/>
      </w:pPr>
      <w:r>
        <w:t>Choose the city only if both its supplier economics and its paid conversion pass.</w:t>
      </w:r>
    </w:p>
    <w:p>
      <w:pPr>
        <w:pStyle w:val="ListNumber"/>
      </w:pPr>
      <w:r>
        <w:t>Secure conditional inventory with staged deposits tied to signed-family thresholds.</w:t>
      </w:r>
    </w:p>
    <w:p>
      <w:pPr>
        <w:pStyle w:val="ListNumber"/>
      </w:pPr>
      <w:r>
        <w:t>Reach 15 signed families by 31 January 2027 or stop.</w:t>
      </w:r>
    </w:p>
    <w:p>
      <w:pPr>
        <w:pStyle w:val="ListNumber"/>
      </w:pPr>
      <w:r>
        <w:t>Run final supplier verification, safeguarding, emergency and customer-onboarding work.</w:t>
      </w:r>
    </w:p>
    <w:p>
      <w:r>
        <w:t>The free work now complete is public discovery: supplier names, public prices, official registration evidence, public law/regulator sources, model ranges and fail gates. The next evidence is inherently non-public and must be generated through written bids, fixed-scope advice, underwriting and paid reservations.</w:t>
      </w:r>
    </w:p>
    <w:p>
      <w:pPr>
        <w:pStyle w:val="Heading1"/>
      </w:pPr>
      <w:r>
        <w:t>Founder decision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82"/>
      </w:tblGrid>
      <w:tr>
        <w:tc>
          <w:tcPr>
            <w:tcW w:type="dxa" w:w="10282"/>
            <w:shd w:fill="FFF2CC"/>
          </w:tcPr>
          <w:p>
            <w:r>
              <w:rPr>
                <w:b/>
                <w:color w:val="1B3959"/>
              </w:rPr>
              <w:t>Current recommendation</w:t>
            </w:r>
            <w:r>
              <w:br/>
              <w:t>Proceed to procurement and legal validation, not to launch. Porto is the first economic choice if it can support a coherent family cluster and premium customer experience. Cascais remains viable only if coastal inventory averages at or below €3,650 and the late camp stays at or below €1,600 per child. Select neither if paid demand or legal/safety gates fail.</w:t>
            </w:r>
          </w:p>
        </w:tc>
      </w:tr>
    </w:tbl>
    <w:p/>
    <w:p>
      <w:pPr>
        <w:pStyle w:val="Heading1"/>
      </w:pPr>
      <w:r>
        <w:t>Appendix A — Key model inputs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69"/>
        <w:gridCol w:w="1469"/>
        <w:gridCol w:w="1469"/>
        <w:gridCol w:w="1469"/>
        <w:gridCol w:w="1469"/>
        <w:gridCol w:w="1469"/>
        <w:gridCol w:w="1469"/>
      </w:tblGrid>
      <w:tr>
        <w:tc>
          <w:tcPr>
            <w:tcW w:type="dxa" w:w="1469"/>
            <w:shd w:fill="1C767D"/>
          </w:tcPr>
          <w:p>
            <w:r>
              <w:rPr>
                <w:b/>
                <w:color w:val="FFFFFF"/>
                <w:sz w:val="13"/>
              </w:rPr>
              <w:t>Category</w:t>
            </w:r>
          </w:p>
        </w:tc>
        <w:tc>
          <w:tcPr>
            <w:tcW w:type="dxa" w:w="1469"/>
            <w:shd w:fill="1C767D"/>
          </w:tcPr>
          <w:p>
            <w:r>
              <w:rPr>
                <w:b/>
                <w:color w:val="FFFFFF"/>
                <w:sz w:val="13"/>
              </w:rPr>
              <w:t>Input</w:t>
            </w:r>
          </w:p>
        </w:tc>
        <w:tc>
          <w:tcPr>
            <w:tcW w:type="dxa" w:w="1469"/>
            <w:shd w:fill="1C767D"/>
          </w:tcPr>
          <w:p>
            <w:r>
              <w:rPr>
                <w:b/>
                <w:color w:val="FFFFFF"/>
                <w:sz w:val="13"/>
              </w:rPr>
              <w:t>Low</w:t>
            </w:r>
          </w:p>
        </w:tc>
        <w:tc>
          <w:tcPr>
            <w:tcW w:type="dxa" w:w="1469"/>
            <w:shd w:fill="1C767D"/>
          </w:tcPr>
          <w:p>
            <w:r>
              <w:rPr>
                <w:b/>
                <w:color w:val="FFFFFF"/>
                <w:sz w:val="13"/>
              </w:rPr>
              <w:t>Base</w:t>
            </w:r>
          </w:p>
        </w:tc>
        <w:tc>
          <w:tcPr>
            <w:tcW w:type="dxa" w:w="1469"/>
            <w:shd w:fill="1C767D"/>
          </w:tcPr>
          <w:p>
            <w:r>
              <w:rPr>
                <w:b/>
                <w:color w:val="FFFFFF"/>
                <w:sz w:val="13"/>
              </w:rPr>
              <w:t>High</w:t>
            </w:r>
          </w:p>
        </w:tc>
        <w:tc>
          <w:tcPr>
            <w:tcW w:type="dxa" w:w="1469"/>
            <w:shd w:fill="1C767D"/>
          </w:tcPr>
          <w:p>
            <w:r>
              <w:rPr>
                <w:b/>
                <w:color w:val="FFFFFF"/>
                <w:sz w:val="13"/>
              </w:rPr>
              <w:t>Evidence class</w:t>
            </w:r>
          </w:p>
        </w:tc>
        <w:tc>
          <w:tcPr>
            <w:tcW w:type="dxa" w:w="1469"/>
            <w:shd w:fill="1C767D"/>
          </w:tcPr>
          <w:p>
            <w:r>
              <w:rPr>
                <w:b/>
                <w:color w:val="FFFFFF"/>
                <w:sz w:val="13"/>
              </w:rPr>
              <w:t>Source</w:t>
            </w:r>
          </w:p>
        </w:tc>
      </w:tr>
      <w:tr>
        <w:tc>
          <w:tcPr>
            <w:tcW w:type="dxa" w:w="1469"/>
            <w:vAlign w:val="top"/>
          </w:tcPr>
          <w:p>
            <w:r>
              <w:rPr>
                <w:sz w:val="13"/>
              </w:rPr>
              <w:t>Cohort design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Families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18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18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18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Design choice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Founder design</w:t>
            </w:r>
          </w:p>
        </w:tc>
      </w:tr>
      <w:tr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Cohort design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Children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28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30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32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Estimate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Derived planning range</w:t>
            </w:r>
          </w:p>
        </w:tc>
      </w:tr>
      <w:tr>
        <w:tc>
          <w:tcPr>
            <w:tcW w:type="dxa" w:w="1469"/>
            <w:vAlign w:val="top"/>
          </w:tcPr>
          <w:p>
            <w:r>
              <w:rPr>
                <w:sz w:val="13"/>
              </w:rPr>
              <w:t>Pricing - Cascais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Base family price (2 adults + 1 child)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13100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13100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13100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Test price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Pricing hypothesis informed by Roam benchmark [S38-S39]</w:t>
            </w:r>
          </w:p>
        </w:tc>
      </w:tr>
      <w:tr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Pricing - Cascais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Additional child price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2300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2300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2300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Test price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Derived</w:t>
            </w:r>
          </w:p>
        </w:tc>
      </w:tr>
      <w:tr>
        <w:tc>
          <w:tcPr>
            <w:tcW w:type="dxa" w:w="1469"/>
            <w:vAlign w:val="top"/>
          </w:tcPr>
          <w:p>
            <w:r>
              <w:rPr>
                <w:sz w:val="13"/>
              </w:rPr>
              <w:t>Pricing - Porto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Base family price (2 adults + 1 child)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11800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11800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11800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Test price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Derived</w:t>
            </w:r>
          </w:p>
        </w:tc>
      </w:tr>
      <w:tr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Pricing - Porto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Additional child price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2100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2100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2100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Test price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Derived</w:t>
            </w:r>
          </w:p>
        </w:tc>
      </w:tr>
      <w:tr>
        <w:tc>
          <w:tcPr>
            <w:tcW w:type="dxa" w:w="1469"/>
            <w:vAlign w:val="top"/>
          </w:tcPr>
          <w:p>
            <w:r>
              <w:rPr>
                <w:sz w:val="13"/>
              </w:rPr>
              <w:t>Housing - Cascais coast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28-night family unit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3000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3600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4500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Estimate from public inventory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S20-S24,S57-S60,S74</w:t>
            </w:r>
          </w:p>
        </w:tc>
      </w:tr>
      <w:tr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Housing - Porto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28-night family unit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1900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2400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3200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Estimate from public inventory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S29-S34,S62-S66,S72-S73,S86</w:t>
            </w:r>
          </w:p>
        </w:tc>
      </w:tr>
      <w:tr>
        <w:tc>
          <w:tcPr>
            <w:tcW w:type="dxa" w:w="1469"/>
            <w:vAlign w:val="top"/>
          </w:tcPr>
          <w:p>
            <w:r>
              <w:rPr>
                <w:sz w:val="13"/>
              </w:rPr>
              <w:t>Camp - Cascais coast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4-week normal-hours public retail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486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1000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1200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Observed range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S13-S19</w:t>
            </w:r>
          </w:p>
        </w:tc>
      </w:tr>
      <w:tr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Camp - Porto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4-week normal-hours public retail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620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780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1000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Observed range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S25-S28,S70,S82-S84</w:t>
            </w:r>
          </w:p>
        </w:tc>
      </w:tr>
      <w:tr>
        <w:tc>
          <w:tcPr>
            <w:tcW w:type="dxa" w:w="1469"/>
            <w:vAlign w:val="top"/>
          </w:tcPr>
          <w:p>
            <w:r>
              <w:rPr>
                <w:sz w:val="13"/>
              </w:rPr>
              <w:t>Camp - Cascais coast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Custom late-hours camp all-in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1350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1550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1850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Derived estimate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S01-S06 and supplier range S13-S19</w:t>
            </w:r>
          </w:p>
        </w:tc>
      </w:tr>
      <w:tr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Camp - Porto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Custom late-hours camp all-in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1250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1450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1750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Derived estimate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S01-S06 and S25-S28</w:t>
            </w:r>
          </w:p>
        </w:tc>
      </w:tr>
      <w:tr>
        <w:tc>
          <w:tcPr>
            <w:tcW w:type="dxa" w:w="1469"/>
            <w:vAlign w:val="top"/>
          </w:tcPr>
          <w:p>
            <w:r>
              <w:rPr>
                <w:sz w:val="13"/>
              </w:rPr>
              <w:t>Organizer/DMC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Fee on supplier spend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0.08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0.1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0.15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Market estimate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S49-S52 and market benchmark</w:t>
            </w:r>
          </w:p>
        </w:tc>
      </w:tr>
      <w:tr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Payment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Blended processing cost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0.01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0.024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0.033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Derived from public pricing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S44-S45</w:t>
            </w:r>
          </w:p>
        </w:tc>
      </w:tr>
      <w:tr>
        <w:tc>
          <w:tcPr>
            <w:tcW w:type="dxa" w:w="1469"/>
            <w:vAlign w:val="top"/>
          </w:tcPr>
          <w:p>
            <w:r>
              <w:rPr>
                <w:sz w:val="13"/>
              </w:rPr>
              <w:t>Tax reserve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VAT/TAMS reserve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0.0075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0.015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0.03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Provisional reserve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S07-S08</w:t>
            </w:r>
          </w:p>
        </w:tc>
      </w:tr>
      <w:tr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Customer acquisition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CAC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600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900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1500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Test assumption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Requires paid campaign</w:t>
            </w:r>
          </w:p>
        </w:tc>
      </w:tr>
      <w:tr>
        <w:tc>
          <w:tcPr>
            <w:tcW w:type="dxa" w:w="1469"/>
            <w:vAlign w:val="top"/>
          </w:tcPr>
          <w:p>
            <w:r>
              <w:rPr>
                <w:sz w:val="13"/>
              </w:rPr>
              <w:t>Community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Events/programming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350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490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700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Estimate from public activities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Municipal and supplier discovery</w:t>
            </w:r>
          </w:p>
        </w:tc>
      </w:tr>
      <w:tr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Transfers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Airport transfer allocation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120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150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180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Estimate from public retail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S48</w:t>
            </w:r>
          </w:p>
        </w:tc>
      </w:tr>
      <w:tr>
        <w:tc>
          <w:tcPr>
            <w:tcW w:type="dxa" w:w="1469"/>
            <w:vAlign w:val="top"/>
          </w:tcPr>
          <w:p>
            <w:r>
              <w:rPr>
                <w:sz w:val="13"/>
              </w:rPr>
              <w:t>Transit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Local transit allocation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50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60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80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Observed/estimated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S47</w:t>
            </w:r>
          </w:p>
        </w:tc>
      </w:tr>
      <w:tr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Legal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Fixed-scope Portuguese legal/tax review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3075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7500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14760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Derived estimate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S81 plus fixed-scope quote required</w:t>
            </w:r>
          </w:p>
        </w:tc>
      </w:tr>
      <w:tr>
        <w:tc>
          <w:tcPr>
            <w:tcW w:type="dxa" w:w="1469"/>
            <w:vAlign w:val="top"/>
          </w:tcPr>
          <w:p>
            <w:r>
              <w:rPr>
                <w:sz w:val="13"/>
              </w:rPr>
              <w:t>Legal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U.S. seller-of-travel/privacy review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3000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4000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6000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Estimate</w:t>
            </w:r>
          </w:p>
        </w:tc>
        <w:tc>
          <w:tcPr>
            <w:tcW w:type="dxa" w:w="1469"/>
            <w:vAlign w:val="top"/>
          </w:tcPr>
          <w:p>
            <w:r>
              <w:rPr>
                <w:sz w:val="13"/>
              </w:rPr>
              <w:t>S10-S12</w:t>
            </w:r>
          </w:p>
        </w:tc>
      </w:tr>
      <w:tr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Insurance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Brand/program insurance allocation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2000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4000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6000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Estimate</w:t>
            </w:r>
          </w:p>
        </w:tc>
        <w:tc>
          <w:tcPr>
            <w:tcW w:type="dxa" w:w="1469"/>
            <w:vAlign w:val="top"/>
            <w:shd w:fill="F1F5F8"/>
          </w:tcPr>
          <w:p>
            <w:r>
              <w:rPr>
                <w:sz w:val="13"/>
              </w:rPr>
              <w:t>S04,S79-S80 + written underwriting</w:t>
            </w:r>
          </w:p>
        </w:tc>
      </w:tr>
    </w:tbl>
    <w:p/>
    <w:p>
      <w:pPr>
        <w:pStyle w:val="Heading1"/>
      </w:pPr>
      <w:r>
        <w:t>Appendix B — Public source register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70"/>
        <w:gridCol w:w="2570"/>
        <w:gridCol w:w="2570"/>
        <w:gridCol w:w="2570"/>
      </w:tblGrid>
      <w:tr>
        <w:tc>
          <w:tcPr>
            <w:tcW w:type="dxa" w:w="2570"/>
            <w:shd w:fill="1C767D"/>
          </w:tcPr>
          <w:p>
            <w:r>
              <w:rPr>
                <w:b/>
                <w:color w:val="FFFFFF"/>
                <w:sz w:val="13"/>
              </w:rPr>
              <w:t>ID</w:t>
            </w:r>
          </w:p>
        </w:tc>
        <w:tc>
          <w:tcPr>
            <w:tcW w:type="dxa" w:w="2570"/>
            <w:shd w:fill="1C767D"/>
          </w:tcPr>
          <w:p>
            <w:r>
              <w:rPr>
                <w:b/>
                <w:color w:val="FFFFFF"/>
                <w:sz w:val="13"/>
              </w:rPr>
              <w:t>Category</w:t>
            </w:r>
          </w:p>
        </w:tc>
        <w:tc>
          <w:tcPr>
            <w:tcW w:type="dxa" w:w="2570"/>
            <w:shd w:fill="1C767D"/>
          </w:tcPr>
          <w:p>
            <w:r>
              <w:rPr>
                <w:b/>
                <w:color w:val="FFFFFF"/>
                <w:sz w:val="13"/>
              </w:rPr>
              <w:t>Source</w:t>
            </w:r>
          </w:p>
        </w:tc>
        <w:tc>
          <w:tcPr>
            <w:tcW w:type="dxa" w:w="2570"/>
            <w:shd w:fill="1C767D"/>
          </w:tcPr>
          <w:p>
            <w:r>
              <w:rPr>
                <w:b/>
                <w:color w:val="FFFFFF"/>
                <w:sz w:val="13"/>
              </w:rPr>
              <w:t>Type</w:t>
            </w:r>
          </w:p>
        </w:tc>
      </w:tr>
      <w:tr>
        <w:tc>
          <w:tcPr>
            <w:tcW w:type="dxa" w:w="2570"/>
            <w:vAlign w:val="top"/>
          </w:tcPr>
          <w:p>
            <w:r>
              <w:rPr>
                <w:sz w:val="13"/>
              </w:rPr>
              <w:t>S01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Portugal camp law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Decree-Law 32/2011 - holiday camp organizer regime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Official law</w:t>
            </w:r>
          </w:p>
        </w:tc>
      </w:tr>
      <w:tr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S02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Portugal camp registration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IPDJ - Registration of Holiday Camp Organizers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Official regulator</w:t>
            </w:r>
          </w:p>
        </w:tc>
      </w:tr>
      <w:tr>
        <w:tc>
          <w:tcPr>
            <w:tcW w:type="dxa" w:w="2570"/>
            <w:vAlign w:val="top"/>
          </w:tcPr>
          <w:p>
            <w:r>
              <w:rPr>
                <w:sz w:val="13"/>
              </w:rPr>
              <w:t>S03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Portugal camp staffing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IPDJ - Ferias em Movimento program and staffing support benchmarks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Official regulator</w:t>
            </w:r>
          </w:p>
        </w:tc>
      </w:tr>
      <w:tr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S04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Portugal camp insurance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Portaria 629/2004 - mandatory camp insurance minimums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Official law</w:t>
            </w:r>
          </w:p>
        </w:tc>
      </w:tr>
      <w:tr>
        <w:tc>
          <w:tcPr>
            <w:tcW w:type="dxa" w:w="2570"/>
            <w:vAlign w:val="top"/>
          </w:tcPr>
          <w:p>
            <w:r>
              <w:rPr>
                <w:sz w:val="13"/>
              </w:rPr>
              <w:t>S05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Portugal school calendar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Despacho 8368/2024 - school calendars through 2027-28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Official law</w:t>
            </w:r>
          </w:p>
        </w:tc>
      </w:tr>
      <w:tr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S06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Portugal employer costs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Portuguese Social Security - employer contribution 23.75%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Official regulator</w:t>
            </w:r>
          </w:p>
        </w:tc>
      </w:tr>
      <w:tr>
        <w:tc>
          <w:tcPr>
            <w:tcW w:type="dxa" w:w="2570"/>
            <w:vAlign w:val="top"/>
          </w:tcPr>
          <w:p>
            <w:r>
              <w:rPr>
                <w:sz w:val="13"/>
              </w:rPr>
              <w:t>S07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EU tourism rules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Your Europe - tourism business, package travel and VAT margin scheme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Official EU</w:t>
            </w:r>
          </w:p>
        </w:tc>
      </w:tr>
      <w:tr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S08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Portugal package travel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Decree-Law 17/2018 - package travel and linked travel arrangements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Official law</w:t>
            </w:r>
          </w:p>
        </w:tc>
      </w:tr>
      <w:tr>
        <w:tc>
          <w:tcPr>
            <w:tcW w:type="dxa" w:w="2570"/>
            <w:vAlign w:val="top"/>
          </w:tcPr>
          <w:p>
            <w:r>
              <w:rPr>
                <w:sz w:val="13"/>
              </w:rPr>
              <w:t>S09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EU package travel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European Commission - Package Travel Directive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Official EU</w:t>
            </w:r>
          </w:p>
        </w:tc>
      </w:tr>
      <w:tr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S10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California seller of travel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California Attorney General - Seller of Travel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Official regulator</w:t>
            </w:r>
          </w:p>
        </w:tc>
      </w:tr>
      <w:tr>
        <w:tc>
          <w:tcPr>
            <w:tcW w:type="dxa" w:w="2570"/>
            <w:vAlign w:val="top"/>
          </w:tcPr>
          <w:p>
            <w:r>
              <w:rPr>
                <w:sz w:val="13"/>
              </w:rPr>
              <w:t>S11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Florida seller of travel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Florida FDACS - Sellers of Travel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Official regulator</w:t>
            </w:r>
          </w:p>
        </w:tc>
      </w:tr>
      <w:tr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S12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Washington seller of travel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Washington Department of Licensing - Sellers of Travel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Official regulator</w:t>
            </w:r>
          </w:p>
        </w:tc>
      </w:tr>
      <w:tr>
        <w:tc>
          <w:tcPr>
            <w:tcW w:type="dxa" w:w="2570"/>
            <w:vAlign w:val="top"/>
          </w:tcPr>
          <w:p>
            <w:r>
              <w:rPr>
                <w:sz w:val="13"/>
              </w:rPr>
              <w:t>S13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Cascais camp supplier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Camp Go 2026 at IPS Cascais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Supplier</w:t>
            </w:r>
          </w:p>
        </w:tc>
      </w:tr>
      <w:tr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S14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Cascais camp supplier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Carcavelos Tennis School - Summer Camp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Supplier</w:t>
            </w:r>
          </w:p>
        </w:tc>
      </w:tr>
      <w:tr>
        <w:tc>
          <w:tcPr>
            <w:tcW w:type="dxa" w:w="2570"/>
            <w:vAlign w:val="top"/>
          </w:tcPr>
          <w:p>
            <w:r>
              <w:rPr>
                <w:sz w:val="13"/>
              </w:rPr>
              <w:t>S15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Cascais camp supplier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Prime School Summer Camp 2026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Supplier</w:t>
            </w:r>
          </w:p>
        </w:tc>
      </w:tr>
      <w:tr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S16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Cascais camp supplier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King's College School Cascais Summer Camp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Supplier</w:t>
            </w:r>
          </w:p>
        </w:tc>
      </w:tr>
      <w:tr>
        <w:tc>
          <w:tcPr>
            <w:tcW w:type="dxa" w:w="2570"/>
            <w:vAlign w:val="top"/>
          </w:tcPr>
          <w:p>
            <w:r>
              <w:rPr>
                <w:sz w:val="13"/>
              </w:rPr>
              <w:t>S17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Cascais camp supplier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Shaka Surf Camp Cascais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Supplier</w:t>
            </w:r>
          </w:p>
        </w:tc>
      </w:tr>
      <w:tr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S18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Cascais camp supplier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Anima Park ATL and holiday camps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Supplier</w:t>
            </w:r>
          </w:p>
        </w:tc>
      </w:tr>
      <w:tr>
        <w:tc>
          <w:tcPr>
            <w:tcW w:type="dxa" w:w="2570"/>
            <w:vAlign w:val="top"/>
          </w:tcPr>
          <w:p>
            <w:r>
              <w:rPr>
                <w:sz w:val="13"/>
              </w:rPr>
              <w:t>S19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Cascais camp supplier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Oeiras Sports Holiday Program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Municipal program</w:t>
            </w:r>
          </w:p>
        </w:tc>
      </w:tr>
      <w:tr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S20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Cascais housing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Vila Bicuda official site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Supplier</w:t>
            </w:r>
          </w:p>
        </w:tc>
      </w:tr>
      <w:tr>
        <w:tc>
          <w:tcPr>
            <w:tcW w:type="dxa" w:w="2570"/>
            <w:vAlign w:val="top"/>
          </w:tcPr>
          <w:p>
            <w:r>
              <w:rPr>
                <w:sz w:val="13"/>
              </w:rPr>
              <w:t>S21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Cascais housing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Vila Bicuda public 2026 high-season retail rate listing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Public reseller</w:t>
            </w:r>
          </w:p>
        </w:tc>
      </w:tr>
      <w:tr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S22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Cascais housing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NAMA House Carcavelos - 45 serviced residences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Supplier/development</w:t>
            </w:r>
          </w:p>
        </w:tc>
      </w:tr>
      <w:tr>
        <w:tc>
          <w:tcPr>
            <w:tcW w:type="dxa" w:w="2570"/>
            <w:vAlign w:val="top"/>
          </w:tcPr>
          <w:p>
            <w:r>
              <w:rPr>
                <w:sz w:val="13"/>
              </w:rPr>
              <w:t>S23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Cascais housing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Flatio Parede furnished family apartment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Public listing</w:t>
            </w:r>
          </w:p>
        </w:tc>
      </w:tr>
      <w:tr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S24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Cascais housing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Portugal Portfolio Cascais coast inventory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Property manager</w:t>
            </w:r>
          </w:p>
        </w:tc>
      </w:tr>
      <w:tr>
        <w:tc>
          <w:tcPr>
            <w:tcW w:type="dxa" w:w="2570"/>
            <w:vAlign w:val="top"/>
          </w:tcPr>
          <w:p>
            <w:r>
              <w:rPr>
                <w:sz w:val="13"/>
              </w:rPr>
              <w:t>S25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Porto camp supplier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British Council Porto Summer Courses 2026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Supplier</w:t>
            </w:r>
          </w:p>
        </w:tc>
      </w:tr>
      <w:tr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S26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Porto camp supplier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University of Porto Sports Holiday Camp 2026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University supplier</w:t>
            </w:r>
          </w:p>
        </w:tc>
      </w:tr>
      <w:tr>
        <w:tc>
          <w:tcPr>
            <w:tcW w:type="dxa" w:w="2570"/>
            <w:vAlign w:val="top"/>
          </w:tcPr>
          <w:p>
            <w:r>
              <w:rPr>
                <w:sz w:val="13"/>
              </w:rPr>
              <w:t>S27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Porto camp supplier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Surfing Life Club Porto Kids Camps 2026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Supplier</w:t>
            </w:r>
          </w:p>
        </w:tc>
      </w:tr>
      <w:tr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S28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Porto camp supplier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CCD Porto Holiday Camps 2026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Supplier</w:t>
            </w:r>
          </w:p>
        </w:tc>
      </w:tr>
      <w:tr>
        <w:tc>
          <w:tcPr>
            <w:tcW w:type="dxa" w:w="2570"/>
            <w:vAlign w:val="top"/>
          </w:tcPr>
          <w:p>
            <w:r>
              <w:rPr>
                <w:sz w:val="13"/>
              </w:rPr>
              <w:t>S29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Porto housing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Flatio Feel Corporate Housing Marques II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Public listing</w:t>
            </w:r>
          </w:p>
        </w:tc>
      </w:tr>
      <w:tr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S30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Porto housing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Flatio Modern 2BR Cedofeita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Public listing</w:t>
            </w:r>
          </w:p>
        </w:tc>
      </w:tr>
      <w:tr>
        <w:tc>
          <w:tcPr>
            <w:tcW w:type="dxa" w:w="2570"/>
            <w:vAlign w:val="top"/>
          </w:tcPr>
          <w:p>
            <w:r>
              <w:rPr>
                <w:sz w:val="13"/>
              </w:rPr>
              <w:t>S31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Porto housing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Flatio BoaVista 2BR apartment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Public listing</w:t>
            </w:r>
          </w:p>
        </w:tc>
      </w:tr>
      <w:tr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S32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Porto housing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Flatio VIVA Republica 2BR serviced apartment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Public listing</w:t>
            </w:r>
          </w:p>
        </w:tc>
      </w:tr>
      <w:tr>
        <w:tc>
          <w:tcPr>
            <w:tcW w:type="dxa" w:w="2570"/>
            <w:vAlign w:val="top"/>
          </w:tcPr>
          <w:p>
            <w:r>
              <w:rPr>
                <w:sz w:val="13"/>
              </w:rPr>
              <w:t>S33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Porto housing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Oporto Maison serviced apartments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Supplier</w:t>
            </w:r>
          </w:p>
        </w:tc>
      </w:tr>
      <w:tr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S34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Porto housing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Oporto Maison Alves da Veiga apartments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Supplier</w:t>
            </w:r>
          </w:p>
        </w:tc>
      </w:tr>
      <w:tr>
        <w:tc>
          <w:tcPr>
            <w:tcW w:type="dxa" w:w="2570"/>
            <w:vAlign w:val="top"/>
          </w:tcPr>
          <w:p>
            <w:r>
              <w:rPr>
                <w:sz w:val="13"/>
              </w:rPr>
              <w:t>S35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Valencia camp supplier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American School of Valencia Summer Program 2026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Supplier</w:t>
            </w:r>
          </w:p>
        </w:tc>
      </w:tr>
      <w:tr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S36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Valencia camp supplier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Valencia Tennis Academy Summer Camp 2026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Supplier</w:t>
            </w:r>
          </w:p>
        </w:tc>
      </w:tr>
      <w:tr>
        <w:tc>
          <w:tcPr>
            <w:tcW w:type="dxa" w:w="2570"/>
            <w:vAlign w:val="top"/>
          </w:tcPr>
          <w:p>
            <w:r>
              <w:rPr>
                <w:sz w:val="13"/>
              </w:rPr>
              <w:t>S37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Valencia camp supplier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Valencia CF Summer Camp 2026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Supplier</w:t>
            </w:r>
          </w:p>
        </w:tc>
      </w:tr>
      <w:tr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S38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Competitor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Roam Collective official site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Competitor</w:t>
            </w:r>
          </w:p>
        </w:tc>
      </w:tr>
      <w:tr>
        <w:tc>
          <w:tcPr>
            <w:tcW w:type="dxa" w:w="2570"/>
            <w:vAlign w:val="top"/>
          </w:tcPr>
          <w:p>
            <w:r>
              <w:rPr>
                <w:sz w:val="13"/>
              </w:rPr>
              <w:t>S39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Competitor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Roam / ilo published terms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Competitor terms</w:t>
            </w:r>
          </w:p>
        </w:tc>
      </w:tr>
      <w:tr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S40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Competitor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Boundless Life public pricing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Competitor</w:t>
            </w:r>
          </w:p>
        </w:tc>
      </w:tr>
      <w:tr>
        <w:tc>
          <w:tcPr>
            <w:tcW w:type="dxa" w:w="2570"/>
            <w:vAlign w:val="top"/>
          </w:tcPr>
          <w:p>
            <w:r>
              <w:rPr>
                <w:sz w:val="13"/>
              </w:rPr>
              <w:t>S41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Demand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BLS - employment in families with children, 2025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Official statistics</w:t>
            </w:r>
          </w:p>
        </w:tc>
      </w:tr>
      <w:tr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S42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Demand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U.S. Census - work from home inequalities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Official statistics</w:t>
            </w:r>
          </w:p>
        </w:tc>
      </w:tr>
      <w:tr>
        <w:tc>
          <w:tcPr>
            <w:tcW w:type="dxa" w:w="2570"/>
            <w:vAlign w:val="top"/>
          </w:tcPr>
          <w:p>
            <w:r>
              <w:rPr>
                <w:sz w:val="13"/>
              </w:rPr>
              <w:t>S43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Demand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Pew - parents' summer childcare difficulty, 2026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Research</w:t>
            </w:r>
          </w:p>
        </w:tc>
      </w:tr>
      <w:tr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S44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Payments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Stripe Portugal pricing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Supplier</w:t>
            </w:r>
          </w:p>
        </w:tc>
      </w:tr>
      <w:tr>
        <w:tc>
          <w:tcPr>
            <w:tcW w:type="dxa" w:w="2570"/>
            <w:vAlign w:val="top"/>
          </w:tcPr>
          <w:p>
            <w:r>
              <w:rPr>
                <w:sz w:val="13"/>
              </w:rPr>
              <w:t>S45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Payments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Stripe U.S. pricing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Supplier</w:t>
            </w:r>
          </w:p>
        </w:tc>
      </w:tr>
      <w:tr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S46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Coworking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Cowork Cascais pricing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Supplier</w:t>
            </w:r>
          </w:p>
        </w:tc>
      </w:tr>
      <w:tr>
        <w:tc>
          <w:tcPr>
            <w:tcW w:type="dxa" w:w="2570"/>
            <w:vAlign w:val="top"/>
          </w:tcPr>
          <w:p>
            <w:r>
              <w:rPr>
                <w:sz w:val="13"/>
              </w:rPr>
              <w:t>S47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Transit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MobiCascais fares and passes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Municipal supplier</w:t>
            </w:r>
          </w:p>
        </w:tc>
      </w:tr>
      <w:tr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S48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Transfers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Airport City Transfer Cascais pricing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Supplier</w:t>
            </w:r>
          </w:p>
        </w:tc>
      </w:tr>
      <w:tr>
        <w:tc>
          <w:tcPr>
            <w:tcW w:type="dxa" w:w="2570"/>
            <w:vAlign w:val="top"/>
          </w:tcPr>
          <w:p>
            <w:r>
              <w:rPr>
                <w:sz w:val="13"/>
              </w:rPr>
              <w:t>S49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RNAVT/DMC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Lisboa Sightseeing DMC and group services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Supplier</w:t>
            </w:r>
          </w:p>
        </w:tc>
      </w:tr>
      <w:tr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S50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RNAVT/DMC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Portugal Travel Concierge white-label DMC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Supplier</w:t>
            </w:r>
          </w:p>
        </w:tc>
      </w:tr>
      <w:tr>
        <w:tc>
          <w:tcPr>
            <w:tcW w:type="dxa" w:w="2570"/>
            <w:vAlign w:val="top"/>
          </w:tcPr>
          <w:p>
            <w:r>
              <w:rPr>
                <w:sz w:val="13"/>
              </w:rPr>
              <w:t>S51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RNAVT/DMC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LIMITS DMC Cascais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Supplier</w:t>
            </w:r>
          </w:p>
        </w:tc>
      </w:tr>
      <w:tr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S52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RNAVT/DMC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Cititravel Portugal DMC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Supplier</w:t>
            </w:r>
          </w:p>
        </w:tc>
      </w:tr>
      <w:tr>
        <w:tc>
          <w:tcPr>
            <w:tcW w:type="dxa" w:w="2570"/>
            <w:vAlign w:val="top"/>
          </w:tcPr>
          <w:p>
            <w:r>
              <w:rPr>
                <w:sz w:val="13"/>
              </w:rPr>
              <w:t>S53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Legal pricing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CoreLegal public business legal retainer pricing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Legal supplier</w:t>
            </w:r>
          </w:p>
        </w:tc>
      </w:tr>
      <w:tr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S54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Insurance discovery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Ponto Seguro holiday camp insurance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Insurance broker</w:t>
            </w:r>
          </w:p>
        </w:tc>
      </w:tr>
      <w:tr>
        <w:tc>
          <w:tcPr>
            <w:tcW w:type="dxa" w:w="2570"/>
            <w:vAlign w:val="top"/>
          </w:tcPr>
          <w:p>
            <w:r>
              <w:rPr>
                <w:sz w:val="13"/>
              </w:rPr>
              <w:t>S55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Insurance discovery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Generali holiday camp / ATL insurance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Insurer</w:t>
            </w:r>
          </w:p>
        </w:tc>
      </w:tr>
      <w:tr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S56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Insurance discovery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BIS Allianz tourist animation liability insurance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Broker</w:t>
            </w:r>
          </w:p>
        </w:tc>
      </w:tr>
      <w:tr>
        <w:tc>
          <w:tcPr>
            <w:tcW w:type="dxa" w:w="2570"/>
            <w:vAlign w:val="top"/>
          </w:tcPr>
          <w:p>
            <w:r>
              <w:rPr>
                <w:sz w:val="13"/>
              </w:rPr>
              <w:t>S57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Cascais housing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BeGuest Cascais Inn 2BR monthly listing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Public listing</w:t>
            </w:r>
          </w:p>
        </w:tc>
      </w:tr>
      <w:tr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S58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Cascais housing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Flatio Estoril Beach Flower 2BR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Public listing</w:t>
            </w:r>
          </w:p>
        </w:tc>
      </w:tr>
      <w:tr>
        <w:tc>
          <w:tcPr>
            <w:tcW w:type="dxa" w:w="2570"/>
            <w:vAlign w:val="top"/>
          </w:tcPr>
          <w:p>
            <w:r>
              <w:rPr>
                <w:sz w:val="13"/>
              </w:rPr>
              <w:t>S59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Cascais housing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Flatio Monte Estoril 2BR with pool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Public listing</w:t>
            </w:r>
          </w:p>
        </w:tc>
      </w:tr>
      <w:tr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S60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Cascais housing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Flatio Historical Cascais 2BR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Public listing</w:t>
            </w:r>
          </w:p>
        </w:tc>
      </w:tr>
      <w:tr>
        <w:tc>
          <w:tcPr>
            <w:tcW w:type="dxa" w:w="2570"/>
            <w:vAlign w:val="top"/>
          </w:tcPr>
          <w:p>
            <w:r>
              <w:rPr>
                <w:sz w:val="13"/>
              </w:rPr>
              <w:t>S61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RNAVT registry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Official RNAVT 5243 - Door Travel / D Travel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Official registry</w:t>
            </w:r>
          </w:p>
        </w:tc>
      </w:tr>
      <w:tr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S62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RNAVT registry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Official RNAVT 2229 - Travel Store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Official registry</w:t>
            </w:r>
          </w:p>
        </w:tc>
      </w:tr>
      <w:tr>
        <w:tc>
          <w:tcPr>
            <w:tcW w:type="dxa" w:w="2570"/>
            <w:vAlign w:val="top"/>
          </w:tcPr>
          <w:p>
            <w:r>
              <w:rPr>
                <w:sz w:val="13"/>
              </w:rPr>
              <w:t>S63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RNAVT registry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Official RNAVT 8116 - Be In Travel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Official registry</w:t>
            </w:r>
          </w:p>
        </w:tc>
      </w:tr>
      <w:tr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S64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RNAVT registry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Official RNAVT 3840 - Viagem a Vista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Official registry</w:t>
            </w:r>
          </w:p>
        </w:tc>
      </w:tr>
      <w:tr>
        <w:tc>
          <w:tcPr>
            <w:tcW w:type="dxa" w:w="2570"/>
            <w:vAlign w:val="top"/>
          </w:tcPr>
          <w:p>
            <w:r>
              <w:rPr>
                <w:sz w:val="13"/>
              </w:rPr>
              <w:t>S65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Porto housing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Flatio Campanha 2BR family apartment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Public listing</w:t>
            </w:r>
          </w:p>
        </w:tc>
      </w:tr>
      <w:tr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S66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Porto housing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Uniplaces Bonfim 2BR 2026 monthly listing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Public listing</w:t>
            </w:r>
          </w:p>
        </w:tc>
      </w:tr>
      <w:tr>
        <w:tc>
          <w:tcPr>
            <w:tcW w:type="dxa" w:w="2570"/>
            <w:vAlign w:val="top"/>
          </w:tcPr>
          <w:p>
            <w:r>
              <w:rPr>
                <w:sz w:val="13"/>
              </w:rPr>
              <w:t>S67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Valencia camp supplier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Futedu full-day soccer camp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Supplier</w:t>
            </w:r>
          </w:p>
        </w:tc>
      </w:tr>
      <w:tr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S68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Porto camp supplier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Juvigo Porto Multi Camp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Marketplace listing</w:t>
            </w:r>
          </w:p>
        </w:tc>
      </w:tr>
      <w:tr>
        <w:tc>
          <w:tcPr>
            <w:tcW w:type="dxa" w:w="2570"/>
            <w:vAlign w:val="top"/>
          </w:tcPr>
          <w:p>
            <w:r>
              <w:rPr>
                <w:sz w:val="13"/>
              </w:rPr>
              <w:t>S69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Portugal wage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Portuguese Government - minimum wage rises to €920 in 2026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Official government</w:t>
            </w:r>
          </w:p>
        </w:tc>
      </w:tr>
      <w:tr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S70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Portugal camp registry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IPDJ - Registered holiday camp organizers, North region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Official regulator PDF</w:t>
            </w:r>
          </w:p>
        </w:tc>
      </w:tr>
      <w:tr>
        <w:tc>
          <w:tcPr>
            <w:tcW w:type="dxa" w:w="2570"/>
            <w:vAlign w:val="top"/>
          </w:tcPr>
          <w:p>
            <w:r>
              <w:rPr>
                <w:sz w:val="13"/>
              </w:rPr>
              <w:t>S71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Portugal camp registry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IPDJ - Registered holiday camp organizers, Lisbon and Tagus Valley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Official regulator PDF</w:t>
            </w:r>
          </w:p>
        </w:tc>
      </w:tr>
      <w:tr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S72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Porto housing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Vibrant Host Solutions - group apartment inventory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Property manager</w:t>
            </w:r>
          </w:p>
        </w:tc>
      </w:tr>
      <w:tr>
        <w:tc>
          <w:tcPr>
            <w:tcW w:type="dxa" w:w="2570"/>
            <w:vAlign w:val="top"/>
          </w:tcPr>
          <w:p>
            <w:r>
              <w:rPr>
                <w:sz w:val="13"/>
              </w:rPr>
              <w:t>S73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Porto housing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Porto Touristic Apartments - registered apartment portfolio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Property manager</w:t>
            </w:r>
          </w:p>
        </w:tc>
      </w:tr>
      <w:tr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S74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Cascais housing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Casa de Limão - Parede apartment inventory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Property manager</w:t>
            </w:r>
          </w:p>
        </w:tc>
      </w:tr>
      <w:tr>
        <w:tc>
          <w:tcPr>
            <w:tcW w:type="dxa" w:w="2570"/>
            <w:vAlign w:val="top"/>
          </w:tcPr>
          <w:p>
            <w:r>
              <w:rPr>
                <w:sz w:val="13"/>
              </w:rPr>
              <w:t>S75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RNAVT registry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Turismo de Portugal - National Tourism Registry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Official registry</w:t>
            </w:r>
          </w:p>
        </w:tc>
      </w:tr>
      <w:tr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S76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RNAVT registration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ePortugal - RNAVT registration requirements and fee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Official government</w:t>
            </w:r>
          </w:p>
        </w:tc>
      </w:tr>
      <w:tr>
        <w:tc>
          <w:tcPr>
            <w:tcW w:type="dxa" w:w="2570"/>
            <w:vAlign w:val="top"/>
          </w:tcPr>
          <w:p>
            <w:r>
              <w:rPr>
                <w:sz w:val="13"/>
              </w:rPr>
              <w:t>S77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RNAVT fund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Turismo de Portugal - Travel and Tourism Guarantee Fund contribution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Official government</w:t>
            </w:r>
          </w:p>
        </w:tc>
      </w:tr>
      <w:tr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S78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EU package travel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Directive (EU) 2026/1024 amending package travel rules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Official EU law</w:t>
            </w:r>
          </w:p>
        </w:tc>
      </w:tr>
      <w:tr>
        <w:tc>
          <w:tcPr>
            <w:tcW w:type="dxa" w:w="2570"/>
            <w:vAlign w:val="top"/>
          </w:tcPr>
          <w:p>
            <w:r>
              <w:rPr>
                <w:sz w:val="13"/>
              </w:rPr>
              <w:t>S79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Camp insurance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Ponto Seguro - public holiday-camp personal accident price example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Broker historical price</w:t>
            </w:r>
          </w:p>
        </w:tc>
      </w:tr>
      <w:tr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S80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Tourist animation insurance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BIS - tourist animation insurance public pricing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Broker public price</w:t>
            </w:r>
          </w:p>
        </w:tc>
      </w:tr>
      <w:tr>
        <w:tc>
          <w:tcPr>
            <w:tcW w:type="dxa" w:w="2570"/>
            <w:vAlign w:val="top"/>
          </w:tcPr>
          <w:p>
            <w:r>
              <w:rPr>
                <w:sz w:val="13"/>
              </w:rPr>
              <w:t>S81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Legal market pricing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Fixando Portugal - legal services public price guide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Marketplace price guide</w:t>
            </w:r>
          </w:p>
        </w:tc>
      </w:tr>
      <w:tr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S82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Porto camp supplier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Surfing Life Club - schools and youth programs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Supplier</w:t>
            </w:r>
          </w:p>
        </w:tc>
      </w:tr>
      <w:tr>
        <w:tc>
          <w:tcPr>
            <w:tcW w:type="dxa" w:w="2570"/>
            <w:vAlign w:val="top"/>
          </w:tcPr>
          <w:p>
            <w:r>
              <w:rPr>
                <w:sz w:val="13"/>
              </w:rPr>
              <w:t>S83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Porto camp supplier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University of Porto CDUP 2026 summer sports camp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University supplier</w:t>
            </w:r>
          </w:p>
        </w:tc>
      </w:tr>
      <w:tr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S84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Porto camp supplier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British Council Portugal - Porto English summer courses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Supplier</w:t>
            </w:r>
          </w:p>
        </w:tc>
      </w:tr>
      <w:tr>
        <w:tc>
          <w:tcPr>
            <w:tcW w:type="dxa" w:w="2570"/>
            <w:vAlign w:val="top"/>
          </w:tcPr>
          <w:p>
            <w:r>
              <w:rPr>
                <w:sz w:val="13"/>
              </w:rPr>
              <w:t>S85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Cascais camp supplier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Cascais Wave Riders surf clinics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Supplier</w:t>
            </w:r>
          </w:p>
        </w:tc>
      </w:tr>
      <w:tr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S86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Porto housing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Oporto Maison Entreparedes apartments</w:t>
            </w:r>
          </w:p>
        </w:tc>
        <w:tc>
          <w:tcPr>
            <w:tcW w:type="dxa" w:w="2570"/>
            <w:vAlign w:val="top"/>
            <w:shd w:fill="F1F5F8"/>
          </w:tcPr>
          <w:p>
            <w:r>
              <w:rPr>
                <w:sz w:val="13"/>
              </w:rPr>
              <w:t>Property manager</w:t>
            </w:r>
          </w:p>
        </w:tc>
      </w:tr>
      <w:tr>
        <w:tc>
          <w:tcPr>
            <w:tcW w:type="dxa" w:w="2570"/>
            <w:vAlign w:val="top"/>
          </w:tcPr>
          <w:p>
            <w:r>
              <w:rPr>
                <w:sz w:val="13"/>
              </w:rPr>
              <w:t>S87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EU package travel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Your Europe business guidance - package travel</w:t>
            </w:r>
          </w:p>
        </w:tc>
        <w:tc>
          <w:tcPr>
            <w:tcW w:type="dxa" w:w="2570"/>
            <w:vAlign w:val="top"/>
          </w:tcPr>
          <w:p>
            <w:r>
              <w:rPr>
                <w:sz w:val="13"/>
              </w:rPr>
              <w:t>Official EU guidance</w:t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893" w:right="979" w:bottom="893" w:left="9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t xml:space="preserve">Research snapshot: 14 August 2026 | Public discovery only |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SmallNote"/>
    </w:pPr>
    <w:r>
      <w:t>European Family Summer Camp — Evidence-Based Founder Feasibility Report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100"/>
      <w:outlineLvl w:val="0"/>
    </w:pPr>
    <w:rPr>
      <w:rFonts w:asciiTheme="majorHAnsi" w:eastAsiaTheme="majorEastAsia" w:hAnsiTheme="majorHAnsi" w:cstheme="majorBidi" w:ascii="Aptos" w:hAnsi="Aptos"/>
      <w:b/>
      <w:bCs/>
      <w:color w:val="1B3959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100"/>
      <w:outlineLvl w:val="1"/>
    </w:pPr>
    <w:rPr>
      <w:rFonts w:asciiTheme="majorHAnsi" w:eastAsiaTheme="majorEastAsia" w:hAnsiTheme="majorHAnsi" w:cstheme="majorBidi" w:ascii="Aptos" w:hAnsi="Aptos"/>
      <w:b/>
      <w:bCs/>
      <w:color w:val="1C767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100"/>
      <w:outlineLvl w:val="2"/>
    </w:pPr>
    <w:rPr>
      <w:rFonts w:asciiTheme="majorHAnsi" w:eastAsiaTheme="majorEastAsia" w:hAnsiTheme="majorHAnsi" w:cstheme="majorBidi" w:ascii="Aptos" w:hAnsi="Aptos"/>
      <w:b/>
      <w:bCs/>
      <w:color w:val="1B3959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80"/>
      <w:contextualSpacing/>
    </w:pPr>
    <w:rPr>
      <w:rFonts w:asciiTheme="majorHAnsi" w:eastAsiaTheme="majorEastAsia" w:hAnsiTheme="majorHAnsi" w:cstheme="majorBidi" w:ascii="Aptos Display" w:hAnsi="Aptos Display"/>
      <w:color w:val="1B3959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rPr>
      <w:rFonts w:ascii="Aptos" w:hAnsi="Aptos"/>
      <w:color w:val="505050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